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仿宋_GB2312"/>
          <w:b/>
          <w:bCs/>
          <w:sz w:val="52"/>
          <w:szCs w:val="56"/>
        </w:rPr>
      </w:pPr>
      <w:bookmarkStart w:id="0" w:name="_Toc481072433"/>
      <w:bookmarkStart w:id="1" w:name="_Toc417984962"/>
      <w:bookmarkStart w:id="2" w:name="_Toc484099763"/>
      <w:bookmarkStart w:id="3" w:name="_Toc417547515"/>
      <w:bookmarkStart w:id="4" w:name="_Toc437983581"/>
      <w:bookmarkStart w:id="5" w:name="_Toc408307860"/>
      <w:bookmarkStart w:id="6" w:name="_Toc419297048"/>
      <w:bookmarkStart w:id="7" w:name="_Toc433879059"/>
      <w:bookmarkStart w:id="8" w:name="_Toc420656897"/>
      <w:bookmarkStart w:id="9" w:name="_Toc433785875"/>
      <w:bookmarkStart w:id="10" w:name="_Toc408306858"/>
      <w:bookmarkStart w:id="11" w:name="_Toc433874467"/>
      <w:bookmarkStart w:id="12" w:name="_Toc433785580"/>
      <w:bookmarkStart w:id="13" w:name="_Toc413310157"/>
      <w:bookmarkStart w:id="14" w:name="_Toc435540815"/>
      <w:bookmarkStart w:id="15" w:name="_Toc488128604"/>
      <w:bookmarkStart w:id="16" w:name="_Toc514656768"/>
      <w:bookmarkStart w:id="17" w:name="_Hlk515436065"/>
      <w:bookmarkStart w:id="18" w:name="_Toc515266257"/>
      <w:bookmarkStart w:id="19" w:name="_Toc512584948"/>
      <w:bookmarkStart w:id="20" w:name="_Toc512584900"/>
      <w:bookmarkStart w:id="21" w:name="_Toc515265867"/>
      <w:bookmarkStart w:id="22" w:name="_Toc515435465"/>
      <w:bookmarkStart w:id="23" w:name="_Toc433785876"/>
      <w:bookmarkStart w:id="24" w:name="_Toc417984963"/>
      <w:bookmarkStart w:id="25" w:name="_Toc340568027"/>
      <w:bookmarkStart w:id="26" w:name="_Toc484099764"/>
      <w:bookmarkStart w:id="27" w:name="_Toc408307861"/>
      <w:bookmarkStart w:id="28" w:name="_Toc419297049"/>
      <w:bookmarkStart w:id="29" w:name="_Toc433785581"/>
      <w:bookmarkStart w:id="30" w:name="_Toc339358229"/>
      <w:bookmarkStart w:id="31" w:name="_Toc342646661"/>
      <w:bookmarkStart w:id="32" w:name="_Toc335411342"/>
      <w:bookmarkStart w:id="33" w:name="_Toc388986094"/>
      <w:bookmarkStart w:id="34" w:name="_Toc481072434"/>
      <w:bookmarkStart w:id="35" w:name="_Toc420656898"/>
      <w:bookmarkStart w:id="36" w:name="_Toc433879060"/>
      <w:bookmarkStart w:id="37" w:name="_Toc435540816"/>
      <w:bookmarkStart w:id="38" w:name="_Toc389211277"/>
      <w:bookmarkStart w:id="39" w:name="_Toc433874468"/>
      <w:bookmarkStart w:id="40" w:name="_Toc398281260"/>
      <w:bookmarkStart w:id="41" w:name="_Toc394332237"/>
      <w:bookmarkStart w:id="42" w:name="_Toc417547516"/>
      <w:bookmarkStart w:id="43" w:name="_Toc413310158"/>
      <w:bookmarkStart w:id="44" w:name="_Toc390076240"/>
      <w:bookmarkStart w:id="45" w:name="_Toc437983582"/>
      <w:bookmarkStart w:id="46" w:name="_Toc339362754"/>
      <w:bookmarkStart w:id="47" w:name="_Toc389212690"/>
      <w:bookmarkStart w:id="48" w:name="_Toc408306859"/>
    </w:p>
    <w:p>
      <w:pPr>
        <w:jc w:val="center"/>
        <w:rPr>
          <w:rFonts w:eastAsia="仿宋_GB2312"/>
          <w:b/>
          <w:bCs/>
          <w:sz w:val="52"/>
          <w:szCs w:val="56"/>
        </w:rPr>
      </w:pPr>
    </w:p>
    <w:p>
      <w:pPr>
        <w:jc w:val="center"/>
        <w:rPr>
          <w:rFonts w:eastAsia="仿宋_GB2312"/>
          <w:b/>
          <w:bCs/>
          <w:sz w:val="52"/>
          <w:szCs w:val="56"/>
        </w:rPr>
      </w:pPr>
    </w:p>
    <w:p>
      <w:pPr>
        <w:jc w:val="center"/>
        <w:rPr>
          <w:rFonts w:eastAsia="仿宋_GB2312"/>
          <w:b/>
          <w:bCs/>
          <w:sz w:val="52"/>
          <w:szCs w:val="56"/>
        </w:rPr>
      </w:pPr>
    </w:p>
    <w:p>
      <w:pPr>
        <w:jc w:val="center"/>
        <w:rPr>
          <w:rFonts w:eastAsia="仿宋_GB2312"/>
          <w:b/>
          <w:bCs/>
          <w:sz w:val="52"/>
          <w:szCs w:val="56"/>
        </w:rPr>
      </w:pPr>
    </w:p>
    <w:p>
      <w:pPr>
        <w:spacing w:line="900" w:lineRule="exact"/>
        <w:ind w:firstLine="0" w:firstLineChars="0"/>
        <w:jc w:val="center"/>
        <w:rPr>
          <w:rFonts w:ascii="方正小标宋简体" w:eastAsia="方正小标宋简体"/>
          <w:bCs/>
          <w:sz w:val="52"/>
          <w:szCs w:val="56"/>
        </w:rPr>
      </w:pPr>
      <w:r>
        <w:rPr>
          <w:rFonts w:hint="eastAsia" w:ascii="方正小标宋简体" w:hAnsi="宋体" w:eastAsia="方正小标宋简体"/>
          <w:sz w:val="52"/>
          <w:szCs w:val="52"/>
        </w:rPr>
        <w:t>太仓市浏河集中式饮用水源地</w:t>
      </w:r>
    </w:p>
    <w:p>
      <w:pPr>
        <w:spacing w:line="900" w:lineRule="exact"/>
        <w:ind w:firstLine="0" w:firstLineChars="0"/>
        <w:jc w:val="center"/>
        <w:rPr>
          <w:rFonts w:ascii="方正小标宋简体" w:hAnsi="宋体" w:eastAsia="方正小标宋简体"/>
          <w:sz w:val="52"/>
          <w:szCs w:val="52"/>
        </w:rPr>
      </w:pPr>
      <w:bookmarkStart w:id="49" w:name="_Toc516070090"/>
      <w:bookmarkStart w:id="50" w:name="_Toc515608192"/>
      <w:bookmarkStart w:id="51" w:name="_Toc515608230"/>
      <w:bookmarkStart w:id="52" w:name="_Toc515716279"/>
      <w:r>
        <w:rPr>
          <w:rFonts w:hint="eastAsia" w:ascii="方正小标宋简体" w:hAnsi="宋体" w:eastAsia="方正小标宋简体"/>
          <w:sz w:val="52"/>
          <w:szCs w:val="52"/>
        </w:rPr>
        <w:t>突发环境事件</w:t>
      </w:r>
      <w:bookmarkStart w:id="53" w:name="_Toc342646660"/>
      <w:bookmarkStart w:id="54" w:name="_Toc339358228"/>
      <w:bookmarkStart w:id="55" w:name="_Toc340568026"/>
      <w:bookmarkStart w:id="56" w:name="_Toc335411341"/>
      <w:bookmarkStart w:id="57" w:name="_Toc339362753"/>
      <w:r>
        <w:rPr>
          <w:rFonts w:hint="eastAsia" w:ascii="方正小标宋简体" w:hAnsi="宋体" w:eastAsia="方正小标宋简体"/>
          <w:sz w:val="52"/>
          <w:szCs w:val="52"/>
        </w:rPr>
        <w:t>应急预案</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49"/>
      <w:bookmarkEnd w:id="50"/>
      <w:bookmarkEnd w:id="51"/>
      <w:bookmarkEnd w:id="52"/>
      <w:bookmarkEnd w:id="53"/>
      <w:bookmarkEnd w:id="54"/>
      <w:bookmarkEnd w:id="55"/>
      <w:bookmarkEnd w:id="56"/>
      <w:bookmarkEnd w:id="57"/>
    </w:p>
    <w:p>
      <w:pPr>
        <w:pStyle w:val="2"/>
        <w:ind w:firstLine="562"/>
      </w:pPr>
    </w:p>
    <w:p>
      <w:pPr>
        <w:jc w:val="center"/>
        <w:rPr>
          <w:rFonts w:hAnsi="宋体"/>
          <w:b/>
          <w:sz w:val="52"/>
          <w:szCs w:val="52"/>
        </w:rPr>
      </w:pPr>
    </w:p>
    <w:p>
      <w:pPr>
        <w:ind w:firstLine="1440"/>
        <w:jc w:val="center"/>
        <w:rPr>
          <w:rFonts w:eastAsia="仿宋_GB2312"/>
          <w:sz w:val="72"/>
          <w:szCs w:val="72"/>
        </w:rPr>
      </w:pPr>
    </w:p>
    <w:p>
      <w:pPr>
        <w:ind w:firstLine="1440"/>
        <w:jc w:val="center"/>
        <w:rPr>
          <w:rFonts w:eastAsia="仿宋_GB2312"/>
          <w:sz w:val="72"/>
          <w:szCs w:val="72"/>
        </w:rPr>
      </w:pPr>
    </w:p>
    <w:p>
      <w:pPr>
        <w:ind w:firstLine="1440"/>
        <w:jc w:val="center"/>
        <w:rPr>
          <w:rFonts w:eastAsia="仿宋_GB2312"/>
          <w:sz w:val="72"/>
          <w:szCs w:val="72"/>
        </w:rPr>
      </w:pPr>
    </w:p>
    <w:p>
      <w:pPr>
        <w:ind w:firstLine="1440"/>
        <w:jc w:val="center"/>
        <w:rPr>
          <w:rFonts w:eastAsia="仿宋_GB2312"/>
          <w:sz w:val="72"/>
          <w:szCs w:val="72"/>
        </w:rPr>
      </w:pPr>
    </w:p>
    <w:p>
      <w:pPr>
        <w:ind w:firstLine="1440"/>
        <w:jc w:val="center"/>
        <w:rPr>
          <w:rFonts w:eastAsia="仿宋_GB2312"/>
          <w:sz w:val="72"/>
          <w:szCs w:val="72"/>
        </w:rPr>
      </w:pPr>
    </w:p>
    <w:p>
      <w:pPr>
        <w:ind w:firstLine="1440"/>
        <w:jc w:val="center"/>
        <w:rPr>
          <w:rFonts w:eastAsia="仿宋_GB2312"/>
          <w:sz w:val="72"/>
          <w:szCs w:val="72"/>
        </w:rPr>
      </w:pPr>
    </w:p>
    <w:p>
      <w:pPr>
        <w:ind w:firstLine="1440"/>
        <w:jc w:val="center"/>
        <w:rPr>
          <w:rFonts w:eastAsia="仿宋_GB2312"/>
          <w:sz w:val="72"/>
          <w:szCs w:val="72"/>
        </w:rPr>
      </w:pPr>
    </w:p>
    <w:p>
      <w:pPr>
        <w:ind w:firstLine="1440"/>
        <w:jc w:val="center"/>
        <w:rPr>
          <w:rFonts w:eastAsia="仿宋_GB2312"/>
          <w:sz w:val="72"/>
          <w:szCs w:val="72"/>
        </w:rPr>
      </w:pPr>
    </w:p>
    <w:p>
      <w:pPr>
        <w:ind w:firstLine="1440"/>
        <w:jc w:val="center"/>
        <w:rPr>
          <w:rFonts w:eastAsia="仿宋_GB2312"/>
          <w:sz w:val="72"/>
          <w:szCs w:val="72"/>
        </w:rPr>
      </w:pPr>
    </w:p>
    <w:p>
      <w:pPr>
        <w:ind w:firstLine="1440"/>
        <w:jc w:val="center"/>
        <w:rPr>
          <w:rFonts w:eastAsia="仿宋_GB2312"/>
          <w:sz w:val="72"/>
          <w:szCs w:val="72"/>
        </w:rPr>
      </w:pPr>
    </w:p>
    <w:p>
      <w:pPr>
        <w:ind w:firstLine="0" w:firstLineChars="0"/>
        <w:jc w:val="center"/>
        <w:rPr>
          <w:rFonts w:eastAsia="黑体"/>
          <w:b/>
          <w:bCs/>
          <w:w w:val="80"/>
          <w:sz w:val="72"/>
          <w:szCs w:val="48"/>
        </w:rPr>
      </w:pPr>
    </w:p>
    <w:p>
      <w:pPr>
        <w:pStyle w:val="2"/>
        <w:ind w:firstLine="562"/>
      </w:pPr>
    </w:p>
    <w:p>
      <w:pPr>
        <w:ind w:firstLine="560"/>
      </w:pPr>
    </w:p>
    <w:p>
      <w:pPr>
        <w:ind w:firstLine="0" w:firstLineChars="0"/>
        <w:jc w:val="center"/>
        <w:rPr>
          <w:rFonts w:hAnsi="宋体"/>
          <w:b/>
          <w:sz w:val="48"/>
          <w:szCs w:val="48"/>
        </w:rPr>
      </w:pPr>
    </w:p>
    <w:p>
      <w:pPr>
        <w:ind w:firstLine="0" w:firstLineChars="0"/>
        <w:jc w:val="center"/>
        <w:rPr>
          <w:rFonts w:ascii="方正小标宋简体" w:hAnsi="宋体" w:eastAsia="方正小标宋简体"/>
          <w:b/>
          <w:sz w:val="48"/>
          <w:szCs w:val="48"/>
        </w:rPr>
      </w:pPr>
      <w:r>
        <w:rPr>
          <w:rFonts w:hint="eastAsia" w:ascii="方正小标宋简体" w:eastAsia="方正小标宋简体"/>
          <w:sz w:val="44"/>
          <w:szCs w:val="44"/>
        </w:rPr>
        <w:t>2020年7月</w:t>
      </w:r>
    </w:p>
    <w:p>
      <w:pPr>
        <w:ind w:firstLine="883"/>
        <w:jc w:val="center"/>
        <w:rPr>
          <w:rFonts w:eastAsia="楷体_GB2312"/>
          <w:b/>
          <w:bCs/>
          <w:sz w:val="44"/>
          <w:szCs w:val="56"/>
        </w:rPr>
      </w:pPr>
    </w:p>
    <w:p>
      <w:pPr>
        <w:spacing w:before="312" w:beforeLines="100" w:after="156" w:afterLines="50" w:line="360" w:lineRule="auto"/>
        <w:ind w:firstLine="643"/>
        <w:outlineLvl w:val="0"/>
        <w:rPr>
          <w:rFonts w:eastAsia="仿宋_GB2312"/>
          <w:b/>
          <w:sz w:val="32"/>
          <w:szCs w:val="22"/>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425" w:num="1"/>
          <w:docGrid w:type="lines" w:linePitch="312" w:charSpace="0"/>
        </w:sectPr>
      </w:pPr>
    </w:p>
    <w:bookmarkEnd w:id="16"/>
    <w:bookmarkEnd w:id="17"/>
    <w:bookmarkEnd w:id="18"/>
    <w:bookmarkEnd w:id="19"/>
    <w:bookmarkEnd w:id="20"/>
    <w:bookmarkEnd w:id="21"/>
    <w:bookmarkEnd w:id="22"/>
    <w:sdt>
      <w:sdtPr>
        <w:rPr>
          <w:rFonts w:eastAsia="仿宋_GB2312"/>
          <w:sz w:val="48"/>
          <w:szCs w:val="48"/>
          <w:lang w:val="zh-CN"/>
        </w:rPr>
        <w:id w:val="1401640456"/>
        <w:docPartObj>
          <w:docPartGallery w:val="Table of Contents"/>
          <w:docPartUnique/>
        </w:docPartObj>
      </w:sdtPr>
      <w:sdtEndPr>
        <w:rPr>
          <w:rFonts w:eastAsia="仿宋_GB2312"/>
          <w:b/>
          <w:bCs/>
          <w:sz w:val="20"/>
          <w:szCs w:val="48"/>
          <w:lang w:val="zh-CN"/>
        </w:rPr>
      </w:sdtEndPr>
      <w:sdtContent>
        <w:sdt>
          <w:sdtPr>
            <w:rPr>
              <w:rFonts w:eastAsia="仿宋_GB2312"/>
              <w:sz w:val="48"/>
              <w:szCs w:val="48"/>
              <w:lang w:val="zh-CN"/>
            </w:rPr>
            <w:id w:val="1076940446"/>
            <w:docPartObj>
              <w:docPartGallery w:val="Table of Contents"/>
              <w:docPartUnique/>
            </w:docPartObj>
          </w:sdtPr>
          <w:sdtEndPr>
            <w:rPr>
              <w:rFonts w:eastAsia="仿宋_GB2312"/>
              <w:bCs/>
              <w:sz w:val="20"/>
              <w:szCs w:val="48"/>
              <w:lang w:val="zh-CN"/>
            </w:rPr>
          </w:sdtEndPr>
          <w:sdtContent>
            <w:p>
              <w:pPr>
                <w:spacing w:line="240" w:lineRule="auto"/>
                <w:ind w:firstLine="0" w:firstLineChars="0"/>
                <w:jc w:val="center"/>
                <w:rPr>
                  <w:rFonts w:ascii="仿宋_GB2312" w:eastAsia="仿宋_GB2312"/>
                  <w:sz w:val="32"/>
                  <w:szCs w:val="32"/>
                </w:rPr>
              </w:pPr>
              <w:r>
                <w:rPr>
                  <w:rFonts w:hint="eastAsia" w:ascii="方正小标宋简体" w:eastAsia="方正小标宋简体"/>
                  <w:sz w:val="44"/>
                  <w:szCs w:val="44"/>
                </w:rPr>
                <w:t>目</w:t>
              </w:r>
              <w:r>
                <w:rPr>
                  <w:rFonts w:hint="eastAsia" w:ascii="方正小标宋简体" w:hAnsi="宋体" w:eastAsia="方正小标宋简体"/>
                  <w:sz w:val="44"/>
                  <w:szCs w:val="44"/>
                </w:rPr>
                <w:t xml:space="preserve">    录</w:t>
              </w:r>
              <w:r>
                <w:rPr>
                  <w:rFonts w:hint="eastAsia" w:ascii="仿宋_GB2312" w:eastAsia="仿宋_GB2312"/>
                  <w:szCs w:val="28"/>
                </w:rPr>
                <w:fldChar w:fldCharType="begin"/>
              </w:r>
              <w:r>
                <w:rPr>
                  <w:rFonts w:hint="eastAsia" w:ascii="仿宋_GB2312" w:eastAsia="仿宋_GB2312"/>
                  <w:szCs w:val="28"/>
                </w:rPr>
                <w:instrText xml:space="preserve"> TOC \o "1-3" \h \z \u </w:instrText>
              </w:r>
              <w:r>
                <w:rPr>
                  <w:rFonts w:hint="eastAsia" w:ascii="仿宋_GB2312" w:eastAsia="仿宋_GB2312"/>
                  <w:szCs w:val="28"/>
                </w:rPr>
                <w:fldChar w:fldCharType="separate"/>
              </w:r>
            </w:p>
            <w:p>
              <w:pPr>
                <w:pStyle w:val="17"/>
                <w:ind w:firstLine="560"/>
                <w:rPr>
                  <w:rFonts w:ascii="仿宋_GB2312" w:eastAsia="仿宋_GB2312" w:hAnsiTheme="minorHAnsi" w:cstheme="minorBidi"/>
                  <w:b/>
                  <w:sz w:val="32"/>
                  <w:szCs w:val="32"/>
                </w:rPr>
              </w:pPr>
              <w:r>
                <w:fldChar w:fldCharType="begin"/>
              </w:r>
              <w:r>
                <w:instrText xml:space="preserve"> HYPERLINK \l "_Toc44927211" </w:instrText>
              </w:r>
              <w:r>
                <w:fldChar w:fldCharType="separate"/>
              </w:r>
              <w:r>
                <w:rPr>
                  <w:rStyle w:val="29"/>
                  <w:rFonts w:hint="eastAsia" w:ascii="仿宋_GB2312" w:hAnsi="黑体" w:eastAsia="仿宋_GB2312"/>
                  <w:b/>
                  <w:sz w:val="32"/>
                  <w:szCs w:val="32"/>
                </w:rPr>
                <w:t>1  总则</w:t>
              </w:r>
              <w:r>
                <w:rPr>
                  <w:rStyle w:val="29"/>
                  <w:rFonts w:hint="eastAsia" w:ascii="仿宋_GB2312" w:hAnsi="黑体" w:eastAsia="仿宋_GB2312"/>
                  <w:b/>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"_Toc44927212" </w:instrText>
              </w:r>
              <w:r>
                <w:fldChar w:fldCharType="separate"/>
              </w:r>
              <w:r>
                <w:rPr>
                  <w:rStyle w:val="29"/>
                  <w:rFonts w:hint="eastAsia" w:ascii="仿宋_GB2312" w:hAnsi="楷体" w:eastAsia="仿宋_GB2312"/>
                  <w:sz w:val="32"/>
                  <w:szCs w:val="32"/>
                </w:rPr>
                <w:t>1.1  编制说明</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"_Toc44927213" </w:instrText>
              </w:r>
              <w:r>
                <w:fldChar w:fldCharType="separate"/>
              </w:r>
              <w:r>
                <w:rPr>
                  <w:rStyle w:val="29"/>
                  <w:rFonts w:hint="eastAsia" w:ascii="仿宋_GB2312" w:hAnsi="楷体" w:eastAsia="仿宋_GB2312"/>
                  <w:sz w:val="32"/>
                  <w:szCs w:val="32"/>
                </w:rPr>
                <w:t>1.2  编制目的</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"_Toc44927214" </w:instrText>
              </w:r>
              <w:r>
                <w:fldChar w:fldCharType="separate"/>
              </w:r>
              <w:r>
                <w:rPr>
                  <w:rStyle w:val="29"/>
                  <w:rFonts w:hint="eastAsia" w:ascii="仿宋_GB2312" w:hAnsi="楷体" w:eastAsia="仿宋_GB2312"/>
                  <w:sz w:val="32"/>
                  <w:szCs w:val="32"/>
                </w:rPr>
                <w:t>1.3  适用范围</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"_Toc44927215" </w:instrText>
              </w:r>
              <w:r>
                <w:fldChar w:fldCharType="separate"/>
              </w:r>
              <w:r>
                <w:rPr>
                  <w:rStyle w:val="29"/>
                  <w:rFonts w:hint="eastAsia" w:ascii="仿宋_GB2312" w:hAnsi="楷体" w:eastAsia="仿宋_GB2312"/>
                  <w:sz w:val="32"/>
                  <w:szCs w:val="32"/>
                </w:rPr>
                <w:t>1.4  预案衔接</w:t>
              </w:r>
              <w:r>
                <w:rPr>
                  <w:rStyle w:val="29"/>
                  <w:rFonts w:hint="eastAsia" w:ascii="仿宋_GB2312" w:hAnsi="楷体" w:eastAsia="仿宋_GB2312"/>
                  <w:sz w:val="32"/>
                  <w:szCs w:val="32"/>
                </w:rPr>
                <w:fldChar w:fldCharType="end"/>
              </w:r>
            </w:p>
            <w:p>
              <w:pPr>
                <w:pStyle w:val="17"/>
                <w:ind w:firstLine="560"/>
                <w:rPr>
                  <w:rFonts w:ascii="仿宋_GB2312" w:eastAsia="仿宋_GB2312" w:hAnsiTheme="minorHAnsi" w:cstheme="minorBidi"/>
                  <w:b/>
                  <w:sz w:val="32"/>
                  <w:szCs w:val="32"/>
                </w:rPr>
              </w:pPr>
              <w:r>
                <w:fldChar w:fldCharType="begin"/>
              </w:r>
              <w:r>
                <w:instrText xml:space="preserve"> HYPERLINK \l "_Toc44927216" </w:instrText>
              </w:r>
              <w:r>
                <w:fldChar w:fldCharType="separate"/>
              </w:r>
              <w:r>
                <w:rPr>
                  <w:rStyle w:val="29"/>
                  <w:rFonts w:hint="eastAsia" w:ascii="仿宋_GB2312" w:hAnsi="黑体" w:eastAsia="仿宋_GB2312"/>
                  <w:b/>
                  <w:sz w:val="32"/>
                  <w:szCs w:val="32"/>
                </w:rPr>
                <w:t>2  应急组织指挥体系</w:t>
              </w:r>
              <w:r>
                <w:rPr>
                  <w:rStyle w:val="29"/>
                  <w:rFonts w:hint="eastAsia" w:ascii="仿宋_GB2312" w:hAnsi="黑体" w:eastAsia="仿宋_GB2312"/>
                  <w:b/>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"_Toc44927217" </w:instrText>
              </w:r>
              <w:r>
                <w:fldChar w:fldCharType="separate"/>
              </w:r>
              <w:r>
                <w:rPr>
                  <w:rStyle w:val="29"/>
                  <w:rFonts w:hint="eastAsia" w:ascii="仿宋_GB2312" w:hAnsi="楷体" w:eastAsia="仿宋_GB2312"/>
                  <w:sz w:val="32"/>
                  <w:szCs w:val="32"/>
                </w:rPr>
                <w:t>2.1  应急组织指挥机构</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"_Toc44927218" </w:instrText>
              </w:r>
              <w:r>
                <w:fldChar w:fldCharType="separate"/>
              </w:r>
              <w:r>
                <w:rPr>
                  <w:rStyle w:val="29"/>
                  <w:rFonts w:hint="eastAsia" w:ascii="仿宋_GB2312" w:hAnsi="楷体" w:eastAsia="仿宋_GB2312"/>
                  <w:sz w:val="32"/>
                  <w:szCs w:val="32"/>
                </w:rPr>
                <w:t>2.2  现场应急指挥部</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"_Toc44927219" </w:instrText>
              </w:r>
              <w:r>
                <w:fldChar w:fldCharType="separate"/>
              </w:r>
              <w:r>
                <w:rPr>
                  <w:rStyle w:val="29"/>
                  <w:rFonts w:hint="eastAsia" w:ascii="仿宋_GB2312" w:hAnsi="楷体" w:eastAsia="仿宋_GB2312"/>
                  <w:sz w:val="32"/>
                  <w:szCs w:val="32"/>
                </w:rPr>
                <w:t>2.3  现场应急工作组</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"_Toc44927220" </w:instrText>
              </w:r>
              <w:r>
                <w:fldChar w:fldCharType="separate"/>
              </w:r>
              <w:r>
                <w:rPr>
                  <w:rStyle w:val="29"/>
                  <w:rFonts w:hint="eastAsia" w:ascii="仿宋_GB2312" w:hAnsi="楷体" w:eastAsia="仿宋_GB2312"/>
                  <w:sz w:val="32"/>
                  <w:szCs w:val="32"/>
                </w:rPr>
                <w:t>2.4  外部应急救援力量</w:t>
              </w:r>
              <w:r>
                <w:rPr>
                  <w:rStyle w:val="29"/>
                  <w:rFonts w:hint="eastAsia" w:ascii="仿宋_GB2312" w:hAnsi="楷体" w:eastAsia="仿宋_GB2312"/>
                  <w:sz w:val="32"/>
                  <w:szCs w:val="32"/>
                </w:rPr>
                <w:fldChar w:fldCharType="end"/>
              </w:r>
            </w:p>
            <w:p>
              <w:pPr>
                <w:pStyle w:val="17"/>
                <w:ind w:firstLine="560"/>
                <w:rPr>
                  <w:rFonts w:ascii="仿宋_GB2312" w:eastAsia="仿宋_GB2312" w:hAnsiTheme="minorHAnsi" w:cstheme="minorBidi"/>
                  <w:b/>
                  <w:sz w:val="32"/>
                  <w:szCs w:val="32"/>
                </w:rPr>
              </w:pPr>
              <w:r>
                <w:fldChar w:fldCharType="begin"/>
              </w:r>
              <w:r>
                <w:instrText xml:space="preserve"> HYPERLINK \l "_Toc44927221" </w:instrText>
              </w:r>
              <w:r>
                <w:fldChar w:fldCharType="separate"/>
              </w:r>
              <w:r>
                <w:rPr>
                  <w:rStyle w:val="29"/>
                  <w:rFonts w:hint="eastAsia" w:ascii="仿宋_GB2312" w:eastAsia="仿宋_GB2312"/>
                  <w:b/>
                  <w:sz w:val="32"/>
                  <w:szCs w:val="32"/>
                </w:rPr>
                <w:t>3  应急响应</w:t>
              </w:r>
              <w:r>
                <w:rPr>
                  <w:rStyle w:val="29"/>
                  <w:rFonts w:hint="eastAsia" w:ascii="仿宋_GB2312" w:eastAsia="仿宋_GB2312"/>
                  <w:b/>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"_Toc44927222" </w:instrText>
              </w:r>
              <w:r>
                <w:fldChar w:fldCharType="separate"/>
              </w:r>
              <w:r>
                <w:rPr>
                  <w:rStyle w:val="29"/>
                  <w:rFonts w:hint="eastAsia" w:ascii="仿宋_GB2312" w:hAnsi="楷体" w:eastAsia="仿宋_GB2312"/>
                  <w:sz w:val="32"/>
                  <w:szCs w:val="32"/>
                </w:rPr>
                <w:t>3.1  预警</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"_Toc44927228" </w:instrText>
              </w:r>
              <w:r>
                <w:fldChar w:fldCharType="separate"/>
              </w:r>
              <w:r>
                <w:rPr>
                  <w:rStyle w:val="29"/>
                  <w:rFonts w:hint="eastAsia" w:ascii="仿宋_GB2312" w:hAnsi="楷体" w:eastAsia="仿宋_GB2312"/>
                  <w:sz w:val="32"/>
                  <w:szCs w:val="32"/>
                </w:rPr>
                <w:t>3.2  信息报告与通报</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"_Toc44927231" </w:instrText>
              </w:r>
              <w:r>
                <w:fldChar w:fldCharType="separate"/>
              </w:r>
              <w:r>
                <w:rPr>
                  <w:rStyle w:val="29"/>
                  <w:rFonts w:hint="eastAsia" w:ascii="仿宋_GB2312" w:hAnsi="楷体" w:eastAsia="仿宋_GB2312"/>
                  <w:sz w:val="32"/>
                  <w:szCs w:val="32"/>
                </w:rPr>
                <w:t>3.3  应急监测</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"_Toc44927235" </w:instrText>
              </w:r>
              <w:r>
                <w:fldChar w:fldCharType="separate"/>
              </w:r>
              <w:r>
                <w:rPr>
                  <w:rStyle w:val="29"/>
                  <w:rFonts w:hint="eastAsia" w:ascii="仿宋_GB2312" w:hAnsi="楷体" w:eastAsia="仿宋_GB2312"/>
                  <w:sz w:val="32"/>
                  <w:szCs w:val="32"/>
                </w:rPr>
                <w:t>3.4  污染源排查与处置</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"_Toc44927238" </w:instrText>
              </w:r>
              <w:r>
                <w:fldChar w:fldCharType="separate"/>
              </w:r>
              <w:r>
                <w:rPr>
                  <w:rStyle w:val="29"/>
                  <w:rFonts w:hint="eastAsia" w:ascii="仿宋_GB2312" w:hAnsi="楷体" w:eastAsia="仿宋_GB2312"/>
                  <w:sz w:val="32"/>
                  <w:szCs w:val="32"/>
                </w:rPr>
                <w:t>3.5  应急处置</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"_Toc44927240" </w:instrText>
              </w:r>
              <w:r>
                <w:fldChar w:fldCharType="separate"/>
              </w:r>
              <w:r>
                <w:rPr>
                  <w:rStyle w:val="29"/>
                  <w:rFonts w:hint="eastAsia" w:ascii="仿宋_GB2312" w:hAnsi="楷体" w:eastAsia="仿宋_GB2312"/>
                  <w:sz w:val="32"/>
                  <w:szCs w:val="32"/>
                </w:rPr>
                <w:t>3.6  物资调集及应急设施启用</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仿宋_GB2312" w:eastAsia="仿宋_GB2312" w:hAnsiTheme="minorHAnsi" w:cstheme="minorBidi"/>
                  <w:sz w:val="32"/>
                  <w:szCs w:val="32"/>
                </w:rPr>
              </w:pPr>
              <w:r>
                <w:fldChar w:fldCharType="begin"/>
              </w:r>
              <w:r>
                <w:instrText xml:space="preserve"> HYPERLINK \l "_Toc44927241" </w:instrText>
              </w:r>
              <w:r>
                <w:fldChar w:fldCharType="separate"/>
              </w:r>
              <w:r>
                <w:rPr>
                  <w:rStyle w:val="29"/>
                  <w:rFonts w:hint="eastAsia" w:ascii="仿宋_GB2312" w:hAnsi="楷体" w:eastAsia="仿宋_GB2312"/>
                  <w:sz w:val="32"/>
                  <w:szCs w:val="32"/>
                </w:rPr>
                <w:t>3.7  舆情监测与信息发布</w:t>
              </w:r>
              <w:r>
                <w:rPr>
                  <w:rStyle w:val="29"/>
                  <w:rFonts w:hint="eastAsia" w:ascii="仿宋_GB2312" w:hAnsi="楷体" w:eastAsia="仿宋_GB2312"/>
                  <w:sz w:val="32"/>
                  <w:szCs w:val="32"/>
                </w:rPr>
                <w:fldChar w:fldCharType="end"/>
              </w:r>
            </w:p>
            <w:p>
              <w:pPr>
                <w:pStyle w:val="20"/>
                <w:tabs>
                  <w:tab w:val="right" w:leader="dot" w:pos="8302"/>
                </w:tabs>
                <w:ind w:left="560" w:firstLine="560"/>
                <w:rPr>
                  <w:rFonts w:asciiTheme="minorHAnsi" w:hAnsiTheme="minorHAnsi" w:eastAsiaTheme="minorEastAsia" w:cstheme="minorBidi"/>
                  <w:sz w:val="21"/>
                  <w:szCs w:val="22"/>
                </w:rPr>
              </w:pPr>
              <w:r>
                <w:fldChar w:fldCharType="begin"/>
              </w:r>
              <w:r>
                <w:instrText xml:space="preserve"> HYPERLINK \l "_Toc44927242" </w:instrText>
              </w:r>
              <w:r>
                <w:fldChar w:fldCharType="separate"/>
              </w:r>
              <w:r>
                <w:rPr>
                  <w:rStyle w:val="29"/>
                  <w:rFonts w:hint="eastAsia" w:ascii="仿宋_GB2312" w:hAnsi="楷体" w:eastAsia="仿宋_GB2312"/>
                  <w:sz w:val="32"/>
                  <w:szCs w:val="32"/>
                </w:rPr>
                <w:t>3.8  响应终止</w:t>
              </w:r>
              <w:r>
                <w:rPr>
                  <w:rStyle w:val="29"/>
                  <w:rFonts w:hint="eastAsia" w:ascii="仿宋_GB2312" w:hAnsi="楷体" w:eastAsia="仿宋_GB2312"/>
                  <w:sz w:val="32"/>
                  <w:szCs w:val="32"/>
                </w:rPr>
                <w:fldChar w:fldCharType="end"/>
              </w:r>
            </w:p>
            <w:p>
              <w:pPr>
                <w:tabs>
                  <w:tab w:val="right" w:leader="dot" w:pos="8302"/>
                </w:tabs>
                <w:ind w:firstLine="560"/>
                <w:rPr>
                  <w:rFonts w:eastAsia="仿宋_GB2312"/>
                  <w:bCs/>
                  <w:sz w:val="20"/>
                  <w:szCs w:val="48"/>
                  <w:lang w:val="zh-CN"/>
                </w:rPr>
              </w:pPr>
              <w:r>
                <w:rPr>
                  <w:rFonts w:hint="eastAsia" w:ascii="仿宋_GB2312" w:eastAsia="仿宋_GB2312"/>
                  <w:szCs w:val="28"/>
                </w:rPr>
                <w:fldChar w:fldCharType="end"/>
              </w:r>
            </w:p>
          </w:sdtContent>
        </w:sdt>
      </w:sdtContent>
    </w:sdt>
    <w:p>
      <w:pPr>
        <w:pStyle w:val="34"/>
        <w:spacing w:line="240" w:lineRule="auto"/>
        <w:rPr>
          <w:rFonts w:ascii="Times New Roman"/>
          <w:color w:val="auto"/>
        </w:rPr>
      </w:pP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Pr>
        <w:spacing w:before="317" w:beforeLines="100" w:after="158" w:afterLines="50" w:line="360" w:lineRule="auto"/>
        <w:ind w:firstLine="643"/>
        <w:outlineLvl w:val="1"/>
        <w:rPr>
          <w:rFonts w:eastAsia="仿宋_GB2312"/>
          <w:b/>
          <w:sz w:val="32"/>
          <w:szCs w:val="22"/>
        </w:rPr>
        <w:sectPr>
          <w:headerReference r:id="rId9" w:type="default"/>
          <w:footerReference r:id="rId10" w:type="default"/>
          <w:type w:val="oddPage"/>
          <w:pgSz w:w="11906" w:h="16838"/>
          <w:pgMar w:top="1440" w:right="1797" w:bottom="1440" w:left="1797" w:header="851" w:footer="992" w:gutter="0"/>
          <w:pgNumType w:fmt="upperRoman" w:start="1"/>
          <w:cols w:space="425" w:num="1"/>
          <w:docGrid w:type="lines" w:linePitch="317" w:charSpace="0"/>
        </w:sectPr>
      </w:pPr>
    </w:p>
    <w:p>
      <w:pPr>
        <w:pStyle w:val="4"/>
        <w:spacing w:line="560" w:lineRule="exact"/>
        <w:rPr>
          <w:rFonts w:hint="default" w:ascii="黑体" w:hAnsi="黑体" w:eastAsia="黑体"/>
          <w:b w:val="0"/>
          <w:sz w:val="32"/>
          <w:szCs w:val="32"/>
        </w:rPr>
      </w:pPr>
      <w:bookmarkStart w:id="58" w:name="_Toc44927211"/>
      <w:r>
        <w:rPr>
          <w:rFonts w:ascii="黑体" w:hAnsi="黑体" w:eastAsia="黑体"/>
          <w:b w:val="0"/>
          <w:sz w:val="32"/>
          <w:szCs w:val="32"/>
        </w:rPr>
        <w:t>1总则</w:t>
      </w:r>
      <w:bookmarkEnd w:id="58"/>
    </w:p>
    <w:p>
      <w:pPr>
        <w:pStyle w:val="5"/>
        <w:spacing w:before="156" w:after="156" w:line="560" w:lineRule="exact"/>
        <w:rPr>
          <w:rFonts w:ascii="楷体" w:hAnsi="楷体" w:eastAsia="楷体"/>
          <w:b w:val="0"/>
          <w:sz w:val="32"/>
          <w:szCs w:val="32"/>
        </w:rPr>
      </w:pPr>
      <w:bookmarkStart w:id="59" w:name="_Toc44927212"/>
      <w:r>
        <w:rPr>
          <w:rFonts w:ascii="楷体" w:hAnsi="楷体" w:eastAsia="楷体"/>
          <w:b w:val="0"/>
          <w:sz w:val="32"/>
          <w:szCs w:val="32"/>
        </w:rPr>
        <w:t>1.1编制说明</w:t>
      </w:r>
      <w:bookmarkEnd w:id="59"/>
    </w:p>
    <w:p>
      <w:pPr>
        <w:spacing w:line="560" w:lineRule="exact"/>
        <w:ind w:firstLine="640"/>
        <w:rPr>
          <w:rFonts w:ascii="仿宋_GB2312" w:eastAsia="仿宋_GB2312"/>
          <w:sz w:val="32"/>
          <w:szCs w:val="32"/>
        </w:rPr>
      </w:pPr>
      <w:r>
        <w:rPr>
          <w:rFonts w:hint="eastAsia" w:ascii="仿宋_GB2312" w:eastAsia="仿宋_GB2312"/>
          <w:sz w:val="32"/>
          <w:szCs w:val="32"/>
        </w:rPr>
        <w:t>本突发环境事件应急预案（以下简称“本预案”）是《集中式地表水饮用水水源地突发环境事件应急预案——太仓市浏河水源地》应急预案系列文件的重要组成部分。本预案由系列文件编制领导工作小组组织相关技术人员，根据《集中式地表水饮用水水源地突发环境事件应急预案编制指南（试行）》（以下简称“指南”），在基础状况调查与风险评估基础上进行编制。</w:t>
      </w:r>
    </w:p>
    <w:p>
      <w:pPr>
        <w:pStyle w:val="5"/>
        <w:spacing w:before="156" w:after="156" w:line="560" w:lineRule="exact"/>
        <w:rPr>
          <w:rFonts w:ascii="楷体" w:hAnsi="楷体" w:eastAsia="楷体"/>
          <w:b w:val="0"/>
          <w:sz w:val="32"/>
          <w:szCs w:val="32"/>
        </w:rPr>
      </w:pPr>
      <w:bookmarkStart w:id="60" w:name="_Toc44927213"/>
      <w:r>
        <w:rPr>
          <w:rFonts w:hint="eastAsia" w:ascii="楷体" w:hAnsi="楷体" w:eastAsia="楷体"/>
          <w:b w:val="0"/>
          <w:sz w:val="32"/>
          <w:szCs w:val="32"/>
        </w:rPr>
        <w:t>1.2编制目的</w:t>
      </w:r>
      <w:bookmarkEnd w:id="60"/>
    </w:p>
    <w:p>
      <w:pPr>
        <w:spacing w:line="560" w:lineRule="exact"/>
        <w:ind w:firstLine="640"/>
        <w:rPr>
          <w:rFonts w:ascii="仿宋_GB2312" w:eastAsia="仿宋_GB2312"/>
          <w:sz w:val="32"/>
          <w:szCs w:val="32"/>
        </w:rPr>
      </w:pPr>
      <w:r>
        <w:rPr>
          <w:rFonts w:hint="eastAsia" w:ascii="仿宋_GB2312" w:eastAsia="仿宋_GB2312"/>
          <w:sz w:val="32"/>
          <w:szCs w:val="32"/>
        </w:rPr>
        <w:t>编制本预案的目的：为有效应对水源地突发环境事件，最大程度降低突发环境事件对水源地水质影响，规范水源地突发环境事件应对的各项工作提供指导。</w:t>
      </w:r>
    </w:p>
    <w:p>
      <w:pPr>
        <w:pStyle w:val="5"/>
        <w:spacing w:before="156" w:after="156" w:line="560" w:lineRule="exact"/>
        <w:rPr>
          <w:rFonts w:ascii="楷体" w:hAnsi="楷体" w:eastAsia="楷体"/>
          <w:b w:val="0"/>
          <w:sz w:val="32"/>
          <w:szCs w:val="32"/>
        </w:rPr>
      </w:pPr>
      <w:bookmarkStart w:id="61" w:name="_Toc44927214"/>
      <w:r>
        <w:rPr>
          <w:rFonts w:hint="eastAsia" w:ascii="楷体" w:hAnsi="楷体" w:eastAsia="楷体"/>
          <w:b w:val="0"/>
          <w:sz w:val="32"/>
          <w:szCs w:val="32"/>
        </w:rPr>
        <w:t>1.3适用范围</w:t>
      </w:r>
      <w:bookmarkEnd w:id="61"/>
    </w:p>
    <w:p>
      <w:pPr>
        <w:spacing w:line="560" w:lineRule="exact"/>
        <w:ind w:firstLine="640"/>
        <w:rPr>
          <w:rFonts w:ascii="仿宋_GB2312" w:eastAsia="仿宋_GB2312"/>
          <w:sz w:val="32"/>
          <w:szCs w:val="32"/>
        </w:rPr>
      </w:pPr>
      <w:r>
        <w:rPr>
          <w:rFonts w:hint="eastAsia" w:ascii="仿宋_GB2312" w:eastAsia="仿宋_GB2312"/>
          <w:sz w:val="32"/>
          <w:szCs w:val="32"/>
        </w:rPr>
        <w:t>本预案适用范围同调查范围，即：太仓长江浏河水源地所属水域是长江水域的组成部分，本次调查范围依据指南要求，调查范围为太仓长江浏河水源保护区，以及太仓段沿江水域和太仓段长江堤岸以西一公里内的陆域部分。</w:t>
      </w:r>
    </w:p>
    <w:p>
      <w:pPr>
        <w:pStyle w:val="5"/>
        <w:spacing w:before="156" w:after="156" w:line="560" w:lineRule="exact"/>
        <w:rPr>
          <w:rFonts w:ascii="楷体" w:hAnsi="楷体" w:eastAsia="楷体"/>
          <w:b w:val="0"/>
          <w:sz w:val="32"/>
          <w:szCs w:val="32"/>
        </w:rPr>
      </w:pPr>
      <w:bookmarkStart w:id="62" w:name="_Toc44927215"/>
      <w:r>
        <w:rPr>
          <w:rFonts w:hint="eastAsia" w:ascii="楷体" w:hAnsi="楷体" w:eastAsia="楷体"/>
          <w:b w:val="0"/>
          <w:sz w:val="32"/>
          <w:szCs w:val="32"/>
        </w:rPr>
        <w:t>1.4预案衔接</w:t>
      </w:r>
      <w:bookmarkEnd w:id="62"/>
    </w:p>
    <w:p>
      <w:pPr>
        <w:spacing w:line="560" w:lineRule="exact"/>
        <w:ind w:firstLine="640"/>
        <w:rPr>
          <w:rFonts w:ascii="仿宋_GB2312" w:eastAsia="仿宋_GB2312"/>
          <w:sz w:val="32"/>
          <w:szCs w:val="32"/>
        </w:rPr>
      </w:pPr>
      <w:r>
        <w:rPr>
          <w:rFonts w:hint="eastAsia" w:ascii="仿宋_GB2312" w:eastAsia="仿宋_GB2312"/>
          <w:sz w:val="32"/>
          <w:szCs w:val="32"/>
        </w:rPr>
        <w:t>本预案作为太仓市政府的专项应急预案独立编制，与太仓市应急预案相辅相成。</w:t>
      </w:r>
    </w:p>
    <w:p>
      <w:pPr>
        <w:spacing w:line="560" w:lineRule="exact"/>
        <w:ind w:firstLine="640"/>
        <w:rPr>
          <w:rFonts w:ascii="仿宋_GB2312" w:eastAsia="仿宋_GB2312"/>
          <w:sz w:val="32"/>
          <w:szCs w:val="32"/>
        </w:rPr>
      </w:pPr>
      <w:r>
        <w:rPr>
          <w:rFonts w:hint="eastAsia" w:ascii="仿宋_GB2312" w:eastAsia="仿宋_GB2312"/>
          <w:sz w:val="32"/>
          <w:szCs w:val="32"/>
        </w:rPr>
        <w:t>当太仓市境内发生突发环境事件时，或因火灾、爆炸及泄漏、交通事故引发次生衍生突发环境事件时，首先启动太仓市突发环境事件应急预案，当突发环境事件污染物迁移到本预案适用范围时，或突发环境事件发生在适用范围内时，启动本预案。</w:t>
      </w:r>
    </w:p>
    <w:p>
      <w:pPr>
        <w:spacing w:line="560" w:lineRule="exact"/>
        <w:ind w:firstLine="640"/>
        <w:rPr>
          <w:rFonts w:ascii="仿宋_GB2312" w:eastAsia="仿宋_GB2312"/>
          <w:sz w:val="32"/>
          <w:szCs w:val="32"/>
        </w:rPr>
      </w:pPr>
      <w:r>
        <w:rPr>
          <w:rFonts w:hint="eastAsia" w:ascii="仿宋_GB2312" w:eastAsia="仿宋_GB2312"/>
          <w:sz w:val="32"/>
          <w:szCs w:val="32"/>
        </w:rPr>
        <w:t>当突发环境事件跨行政区域时，如水体污染物通过入江河流进入到太仓市范围内长江段水域后，根据实际情况报请周边行政单位，如太仓市人民政府、苏州市人民政府、江苏省人民政府启动各自级别的突发环境事件应急预案，由上级人民政府统一协调指挥，太仓市人民政府进行先期处置。</w:t>
      </w:r>
    </w:p>
    <w:p>
      <w:pPr>
        <w:spacing w:line="560" w:lineRule="exact"/>
        <w:ind w:firstLine="640"/>
        <w:rPr>
          <w:rFonts w:ascii="仿宋_GB2312" w:eastAsia="仿宋_GB2312"/>
          <w:sz w:val="32"/>
          <w:szCs w:val="32"/>
        </w:rPr>
      </w:pPr>
      <w:r>
        <w:rPr>
          <w:rFonts w:hint="eastAsia" w:ascii="仿宋_GB2312" w:eastAsia="仿宋_GB2312"/>
          <w:sz w:val="32"/>
          <w:szCs w:val="32"/>
        </w:rPr>
        <w:t>当污染物已通过取水口进入水源厂甚至自来水厂时，或即将进入时，由水源厂或自来水厂启动企业级突发环境事件应急预案。</w:t>
      </w:r>
    </w:p>
    <w:p>
      <w:pPr>
        <w:spacing w:line="560" w:lineRule="exact"/>
        <w:ind w:firstLine="640"/>
        <w:rPr>
          <w:rFonts w:ascii="仿宋_GB2312" w:eastAsia="仿宋_GB2312"/>
          <w:sz w:val="32"/>
          <w:szCs w:val="32"/>
        </w:rPr>
      </w:pPr>
      <w:r>
        <w:rPr>
          <w:rFonts w:hint="eastAsia" w:ascii="仿宋_GB2312" w:eastAsia="仿宋_GB2312"/>
          <w:sz w:val="32"/>
          <w:szCs w:val="32"/>
        </w:rPr>
        <w:t>与上下级预案相互衔接，避免出现组织指挥不协调、信息报告不及时、应对措施不得力等情况，确保突发环境事件的应急组织指挥方式协调一致，相关部门共同配合做好污染物拦截、信息收集研判、事件预警和应急响应等工作。</w:t>
      </w:r>
    </w:p>
    <w:p>
      <w:pPr>
        <w:spacing w:line="560" w:lineRule="exact"/>
        <w:ind w:firstLine="640"/>
        <w:rPr>
          <w:rFonts w:ascii="仿宋_GB2312" w:eastAsia="仿宋_GB2312"/>
          <w:sz w:val="32"/>
          <w:szCs w:val="32"/>
        </w:rPr>
      </w:pPr>
      <w:r>
        <w:rPr>
          <w:rFonts w:hint="eastAsia" w:ascii="仿宋_GB2312" w:eastAsia="仿宋_GB2312"/>
          <w:sz w:val="32"/>
          <w:szCs w:val="32"/>
        </w:rPr>
        <w:br w:type="page"/>
      </w:r>
    </w:p>
    <w:p>
      <w:pPr>
        <w:pStyle w:val="4"/>
        <w:spacing w:line="560" w:lineRule="exact"/>
        <w:rPr>
          <w:rFonts w:hint="default" w:ascii="黑体" w:hAnsi="黑体" w:eastAsia="黑体"/>
          <w:b w:val="0"/>
          <w:sz w:val="32"/>
          <w:szCs w:val="32"/>
        </w:rPr>
      </w:pPr>
      <w:bookmarkStart w:id="63" w:name="_Toc44927216"/>
      <w:r>
        <w:rPr>
          <w:rFonts w:ascii="黑体" w:hAnsi="黑体" w:eastAsia="黑体"/>
          <w:b w:val="0"/>
          <w:sz w:val="32"/>
          <w:szCs w:val="32"/>
        </w:rPr>
        <w:t>2应急组织指挥体系</w:t>
      </w:r>
      <w:bookmarkEnd w:id="63"/>
    </w:p>
    <w:p>
      <w:pPr>
        <w:spacing w:line="560" w:lineRule="exact"/>
        <w:ind w:firstLine="640"/>
        <w:rPr>
          <w:rFonts w:ascii="仿宋_GB2312" w:eastAsia="仿宋_GB2312"/>
          <w:sz w:val="32"/>
          <w:szCs w:val="32"/>
        </w:rPr>
      </w:pPr>
      <w:r>
        <w:rPr>
          <w:rFonts w:hint="eastAsia" w:ascii="仿宋_GB2312" w:eastAsia="仿宋_GB2312"/>
          <w:sz w:val="32"/>
          <w:szCs w:val="32"/>
        </w:rPr>
        <w:t>应急组织指挥体系包括应急组织指挥机构、现场应急指挥部和应急工作组。根据突发环境事件影响程度和应急处置工作需要，还包括可能的外部应急救援力量，如发生水污染事件时，需上级或周边地区人民政府及有关部门、应急专家或支援机构协同应对等。</w:t>
      </w:r>
    </w:p>
    <w:p>
      <w:pPr>
        <w:pStyle w:val="5"/>
        <w:spacing w:before="156" w:after="156" w:line="560" w:lineRule="exact"/>
        <w:rPr>
          <w:rFonts w:ascii="楷体" w:hAnsi="楷体" w:eastAsia="楷体"/>
          <w:b w:val="0"/>
          <w:sz w:val="32"/>
          <w:szCs w:val="32"/>
        </w:rPr>
      </w:pPr>
      <w:bookmarkStart w:id="64" w:name="_Toc44927217"/>
      <w:r>
        <w:rPr>
          <w:rFonts w:hint="eastAsia" w:ascii="楷体" w:hAnsi="楷体" w:eastAsia="楷体"/>
          <w:b w:val="0"/>
          <w:sz w:val="32"/>
          <w:szCs w:val="32"/>
        </w:rPr>
        <w:t>2.1应急组织指挥机构</w:t>
      </w:r>
      <w:bookmarkEnd w:id="64"/>
    </w:p>
    <w:p>
      <w:pPr>
        <w:spacing w:line="560" w:lineRule="exact"/>
        <w:ind w:firstLine="640"/>
        <w:rPr>
          <w:rFonts w:ascii="仿宋_GB2312" w:eastAsia="仿宋_GB2312"/>
          <w:sz w:val="32"/>
          <w:szCs w:val="32"/>
        </w:rPr>
      </w:pPr>
      <w:r>
        <w:rPr>
          <w:rFonts w:hint="eastAsia" w:ascii="仿宋_GB2312" w:eastAsia="仿宋_GB2312"/>
          <w:sz w:val="32"/>
          <w:szCs w:val="32"/>
        </w:rPr>
        <w:t>太仓市人民政府组织有关部门和单位成立长江饮用水源地突发环境事件应急组织指挥机构，并明确了市政府、浏河镇、市海事局、市生态环境局及</w:t>
      </w:r>
      <w:r>
        <w:rPr>
          <w:rFonts w:ascii="仿宋_GB2312" w:eastAsia="仿宋_GB2312"/>
          <w:sz w:val="32"/>
          <w:szCs w:val="32"/>
        </w:rPr>
        <w:t>市交运局</w:t>
      </w:r>
      <w:r>
        <w:rPr>
          <w:rFonts w:hint="eastAsia" w:ascii="仿宋_GB2312" w:eastAsia="仿宋_GB2312"/>
          <w:sz w:val="32"/>
          <w:szCs w:val="32"/>
        </w:rPr>
        <w:t>、</w:t>
      </w:r>
      <w:r>
        <w:rPr>
          <w:rFonts w:ascii="仿宋_GB2312" w:eastAsia="仿宋_GB2312"/>
          <w:sz w:val="32"/>
          <w:szCs w:val="32"/>
        </w:rPr>
        <w:t>市水务局、市农业农村局</w:t>
      </w:r>
      <w:r>
        <w:rPr>
          <w:rFonts w:hint="eastAsia" w:ascii="仿宋_GB2312" w:eastAsia="仿宋_GB2312"/>
          <w:sz w:val="32"/>
          <w:szCs w:val="32"/>
        </w:rPr>
        <w:t>等各部门在应急中和日常的工作职责。</w:t>
      </w:r>
    </w:p>
    <w:p>
      <w:pPr>
        <w:spacing w:line="560" w:lineRule="exact"/>
        <w:ind w:firstLine="640"/>
        <w:rPr>
          <w:rFonts w:ascii="仿宋_GB2312" w:eastAsia="仿宋_GB2312"/>
          <w:sz w:val="32"/>
          <w:szCs w:val="32"/>
        </w:rPr>
      </w:pPr>
      <w:r>
        <w:rPr>
          <w:rFonts w:hint="eastAsia" w:ascii="仿宋_GB2312" w:eastAsia="仿宋_GB2312"/>
          <w:sz w:val="32"/>
          <w:szCs w:val="32"/>
        </w:rPr>
        <w:t>建立了AB角制度，明确各岗位的主要责任人和替补责任人，其中总指挥、副总指挥互为AB角。</w:t>
      </w:r>
    </w:p>
    <w:p>
      <w:pPr>
        <w:pStyle w:val="5"/>
        <w:spacing w:before="156" w:after="156" w:line="560" w:lineRule="exact"/>
        <w:rPr>
          <w:rFonts w:ascii="楷体" w:hAnsi="楷体" w:eastAsia="楷体"/>
          <w:b w:val="0"/>
          <w:sz w:val="32"/>
          <w:szCs w:val="32"/>
        </w:rPr>
      </w:pPr>
      <w:bookmarkStart w:id="65" w:name="_Toc44927218"/>
      <w:r>
        <w:rPr>
          <w:rFonts w:hint="eastAsia" w:ascii="楷体" w:hAnsi="楷体" w:eastAsia="楷体"/>
          <w:b w:val="0"/>
          <w:sz w:val="32"/>
          <w:szCs w:val="32"/>
        </w:rPr>
        <w:t>2.2现场应急指挥部</w:t>
      </w:r>
      <w:bookmarkEnd w:id="65"/>
    </w:p>
    <w:p>
      <w:pPr>
        <w:spacing w:line="560" w:lineRule="exact"/>
        <w:ind w:firstLine="640"/>
        <w:rPr>
          <w:rFonts w:ascii="仿宋_GB2312" w:eastAsia="仿宋_GB2312"/>
          <w:sz w:val="32"/>
          <w:szCs w:val="32"/>
        </w:rPr>
      </w:pPr>
      <w:r>
        <w:rPr>
          <w:rFonts w:hint="eastAsia" w:ascii="仿宋_GB2312" w:eastAsia="仿宋_GB2312"/>
          <w:sz w:val="32"/>
          <w:szCs w:val="32"/>
        </w:rPr>
        <w:t>当信息研判和会商判断水源地水质可能受影响时，应立即成立现场应急指挥部。</w:t>
      </w:r>
    </w:p>
    <w:p>
      <w:pPr>
        <w:spacing w:line="560" w:lineRule="exact"/>
        <w:ind w:firstLine="640"/>
        <w:rPr>
          <w:rFonts w:ascii="仿宋_GB2312" w:eastAsia="仿宋_GB2312"/>
          <w:sz w:val="32"/>
          <w:szCs w:val="32"/>
        </w:rPr>
      </w:pPr>
      <w:r>
        <w:rPr>
          <w:rFonts w:hint="eastAsia" w:ascii="仿宋_GB2312" w:eastAsia="仿宋_GB2312"/>
          <w:sz w:val="32"/>
          <w:szCs w:val="32"/>
        </w:rPr>
        <w:t>根据不同突发环境事件情景，在应急组织指挥机构中选择有直接关系的部门和单位成立现场应急指挥部，全面负责指挥、组织和协调水源地突发环境事件的应急响应工作。</w:t>
      </w:r>
    </w:p>
    <w:p>
      <w:pPr>
        <w:spacing w:line="560" w:lineRule="exact"/>
        <w:ind w:firstLine="640"/>
        <w:rPr>
          <w:rFonts w:ascii="仿宋_GB2312" w:eastAsia="仿宋_GB2312"/>
          <w:sz w:val="32"/>
          <w:szCs w:val="32"/>
        </w:rPr>
      </w:pPr>
      <w:r>
        <w:rPr>
          <w:rFonts w:hint="eastAsia" w:ascii="仿宋_GB2312" w:eastAsia="仿宋_GB2312"/>
          <w:sz w:val="32"/>
          <w:szCs w:val="32"/>
        </w:rPr>
        <w:t>如船舶事故等流动源引起的水源地突发环境事件，由市海事局牵头，市水务局、市生态环境局等部门配合。</w:t>
      </w:r>
    </w:p>
    <w:p>
      <w:pPr>
        <w:pStyle w:val="5"/>
        <w:spacing w:before="156" w:after="156" w:line="560" w:lineRule="exact"/>
        <w:rPr>
          <w:rFonts w:ascii="楷体" w:hAnsi="楷体" w:eastAsia="楷体"/>
          <w:b w:val="0"/>
          <w:sz w:val="32"/>
          <w:szCs w:val="32"/>
        </w:rPr>
      </w:pPr>
      <w:bookmarkStart w:id="66" w:name="_Toc44927219"/>
      <w:r>
        <w:rPr>
          <w:rFonts w:hint="eastAsia" w:ascii="楷体" w:hAnsi="楷体" w:eastAsia="楷体"/>
          <w:b w:val="0"/>
          <w:sz w:val="32"/>
          <w:szCs w:val="32"/>
        </w:rPr>
        <w:t>2.3现场应急工作组</w:t>
      </w:r>
      <w:bookmarkEnd w:id="66"/>
    </w:p>
    <w:p>
      <w:pPr>
        <w:spacing w:line="560" w:lineRule="exact"/>
        <w:ind w:firstLine="640"/>
        <w:rPr>
          <w:rFonts w:ascii="仿宋_GB2312" w:eastAsia="仿宋_GB2312"/>
          <w:sz w:val="32"/>
          <w:szCs w:val="32"/>
        </w:rPr>
      </w:pPr>
      <w:r>
        <w:rPr>
          <w:rFonts w:hint="eastAsia" w:ascii="仿宋_GB2312" w:eastAsia="仿宋_GB2312"/>
          <w:sz w:val="32"/>
          <w:szCs w:val="32"/>
        </w:rPr>
        <w:t>现场应急工作组包括应急处置组、应急监测组、应急供水保障组、应急调查组、应急物资保障组、应急专家组、医疗保障组和综合组等。并建立AB角制度，明确各岗位的主要责任人和替补责任人。</w:t>
      </w:r>
    </w:p>
    <w:p>
      <w:pPr>
        <w:pStyle w:val="5"/>
        <w:spacing w:before="156" w:after="156" w:line="560" w:lineRule="exact"/>
        <w:rPr>
          <w:rFonts w:ascii="楷体" w:hAnsi="楷体" w:eastAsia="楷体"/>
          <w:b w:val="0"/>
          <w:sz w:val="32"/>
          <w:szCs w:val="32"/>
        </w:rPr>
      </w:pPr>
      <w:bookmarkStart w:id="67" w:name="_Toc44927220"/>
      <w:r>
        <w:rPr>
          <w:rFonts w:hint="eastAsia" w:ascii="楷体" w:hAnsi="楷体" w:eastAsia="楷体"/>
          <w:b w:val="0"/>
          <w:sz w:val="32"/>
          <w:szCs w:val="32"/>
        </w:rPr>
        <w:t>2.4外部应急救援力量</w:t>
      </w:r>
      <w:bookmarkEnd w:id="67"/>
    </w:p>
    <w:p>
      <w:pPr>
        <w:spacing w:line="560" w:lineRule="exact"/>
        <w:ind w:firstLine="640"/>
        <w:rPr>
          <w:rFonts w:ascii="仿宋_GB2312" w:eastAsia="仿宋_GB2312"/>
          <w:sz w:val="32"/>
          <w:szCs w:val="32"/>
        </w:rPr>
      </w:pPr>
      <w:r>
        <w:rPr>
          <w:rFonts w:hint="eastAsia" w:ascii="仿宋_GB2312" w:eastAsia="仿宋_GB2312"/>
          <w:sz w:val="32"/>
          <w:szCs w:val="32"/>
        </w:rPr>
        <w:t>在应急状态下，可用于支援的外部应急救援力量包括苏州市人民政府及有关部门、江苏省人民政府及有关部门等。</w:t>
      </w:r>
    </w:p>
    <w:p>
      <w:pPr>
        <w:pStyle w:val="4"/>
        <w:spacing w:line="560" w:lineRule="exact"/>
        <w:rPr>
          <w:rFonts w:hint="default" w:ascii="黑体" w:hAnsi="黑体" w:eastAsia="黑体"/>
          <w:b w:val="0"/>
          <w:sz w:val="32"/>
          <w:szCs w:val="32"/>
        </w:rPr>
      </w:pPr>
      <w:r>
        <w:rPr>
          <w:rFonts w:ascii="仿宋_GB2312" w:eastAsia="仿宋_GB2312"/>
        </w:rPr>
        <w:br w:type="page"/>
      </w:r>
      <w:bookmarkStart w:id="68" w:name="_Toc44927221"/>
      <w:r>
        <w:rPr>
          <w:rFonts w:ascii="黑体" w:hAnsi="黑体" w:eastAsia="黑体"/>
          <w:b w:val="0"/>
          <w:sz w:val="32"/>
          <w:szCs w:val="32"/>
        </w:rPr>
        <w:t>3应急响应</w:t>
      </w:r>
      <w:bookmarkEnd w:id="68"/>
    </w:p>
    <w:p>
      <w:pPr>
        <w:pStyle w:val="5"/>
        <w:spacing w:before="156" w:after="156" w:line="560" w:lineRule="exact"/>
        <w:rPr>
          <w:rFonts w:ascii="楷体" w:hAnsi="楷体" w:eastAsia="楷体"/>
          <w:b w:val="0"/>
          <w:sz w:val="32"/>
          <w:szCs w:val="32"/>
        </w:rPr>
      </w:pPr>
      <w:bookmarkStart w:id="69" w:name="_Toc44927222"/>
      <w:r>
        <w:rPr>
          <w:rFonts w:hint="eastAsia" w:ascii="楷体" w:hAnsi="楷体" w:eastAsia="楷体"/>
          <w:b w:val="0"/>
          <w:sz w:val="32"/>
          <w:szCs w:val="32"/>
        </w:rPr>
        <w:t>3.1预警</w:t>
      </w:r>
      <w:bookmarkEnd w:id="69"/>
    </w:p>
    <w:p>
      <w:pPr>
        <w:pStyle w:val="6"/>
        <w:spacing w:line="560" w:lineRule="exact"/>
        <w:rPr>
          <w:rFonts w:ascii="仿宋_GB2312" w:eastAsia="仿宋_GB2312"/>
          <w:b w:val="0"/>
          <w:sz w:val="32"/>
          <w:szCs w:val="32"/>
        </w:rPr>
      </w:pPr>
      <w:bookmarkStart w:id="70" w:name="_Toc44927223"/>
      <w:r>
        <w:rPr>
          <w:rFonts w:hint="eastAsia" w:ascii="仿宋_GB2312" w:eastAsia="仿宋_GB2312"/>
          <w:b w:val="0"/>
          <w:sz w:val="32"/>
          <w:szCs w:val="32"/>
        </w:rPr>
        <w:t>3.1.1预警分级</w:t>
      </w:r>
      <w:bookmarkEnd w:id="70"/>
    </w:p>
    <w:p>
      <w:pPr>
        <w:spacing w:line="560" w:lineRule="exact"/>
        <w:ind w:firstLine="640"/>
        <w:rPr>
          <w:rFonts w:ascii="仿宋_GB2312" w:eastAsia="仿宋_GB2312"/>
          <w:sz w:val="32"/>
          <w:szCs w:val="32"/>
        </w:rPr>
      </w:pPr>
      <w:r>
        <w:rPr>
          <w:rFonts w:hint="eastAsia" w:ascii="仿宋_GB2312" w:eastAsia="仿宋_GB2312"/>
          <w:sz w:val="32"/>
          <w:szCs w:val="32"/>
        </w:rPr>
        <w:t>水源地突发环境事件预警分级与太仓市突发环境事件应急预案的预警分级相互衔接，但水源地应急预案属于政府专项预案，并且有适用的地域范围。为提高效率、简化程序，将预警等级简化为橙色和红色两级预警。</w:t>
      </w:r>
    </w:p>
    <w:p>
      <w:pPr>
        <w:spacing w:line="560" w:lineRule="exact"/>
        <w:ind w:firstLine="640"/>
        <w:rPr>
          <w:rFonts w:ascii="仿宋_GB2312" w:eastAsia="仿宋_GB2312"/>
          <w:sz w:val="32"/>
          <w:szCs w:val="32"/>
        </w:rPr>
      </w:pPr>
      <w:r>
        <w:rPr>
          <w:rFonts w:hint="eastAsia" w:ascii="仿宋_GB2312" w:eastAsia="仿宋_GB2312"/>
          <w:sz w:val="32"/>
          <w:szCs w:val="32"/>
        </w:rPr>
        <w:t>当污染物扩散至水源地应急预案适用的地域范围，但水源保护区或其连接水体尚未受到污染，或是污染物已进入水源保护区上游连接水体，但应急专家组研判认为对水源地水质影响可能较小、可能不影响取水时，为橙色预警；一般发布橙色预警时，仅采取预警行动；</w:t>
      </w:r>
    </w:p>
    <w:p>
      <w:pPr>
        <w:spacing w:line="560" w:lineRule="exact"/>
        <w:ind w:firstLine="640"/>
        <w:rPr>
          <w:rFonts w:ascii="仿宋_GB2312" w:eastAsia="仿宋_GB2312"/>
          <w:sz w:val="32"/>
          <w:szCs w:val="32"/>
        </w:rPr>
      </w:pPr>
      <w:r>
        <w:rPr>
          <w:rFonts w:hint="eastAsia" w:ascii="仿宋_GB2312" w:eastAsia="仿宋_GB2312"/>
          <w:sz w:val="32"/>
          <w:szCs w:val="32"/>
        </w:rPr>
        <w:t>当污染物已进入（或出现在）水源保护区或其上游连接水体，且应急专家组研判认为对水源地水质影响可能较大时、可能影响取水时，为红色预警。</w:t>
      </w:r>
    </w:p>
    <w:p>
      <w:pPr>
        <w:pStyle w:val="6"/>
        <w:spacing w:line="560" w:lineRule="exact"/>
        <w:rPr>
          <w:rFonts w:ascii="仿宋_GB2312" w:eastAsia="仿宋_GB2312"/>
          <w:b w:val="0"/>
          <w:sz w:val="32"/>
          <w:szCs w:val="32"/>
        </w:rPr>
      </w:pPr>
      <w:bookmarkStart w:id="71" w:name="_Toc44927224"/>
      <w:r>
        <w:rPr>
          <w:rFonts w:hint="eastAsia" w:ascii="仿宋_GB2312" w:eastAsia="仿宋_GB2312"/>
          <w:b w:val="0"/>
          <w:sz w:val="32"/>
          <w:szCs w:val="32"/>
        </w:rPr>
        <w:t>3.1.2预警的启动条件</w:t>
      </w:r>
      <w:bookmarkEnd w:id="71"/>
    </w:p>
    <w:p>
      <w:pPr>
        <w:spacing w:line="560" w:lineRule="exact"/>
        <w:ind w:firstLine="640"/>
        <w:rPr>
          <w:rFonts w:ascii="仿宋_GB2312" w:eastAsia="仿宋_GB2312"/>
          <w:sz w:val="32"/>
          <w:szCs w:val="32"/>
        </w:rPr>
      </w:pPr>
      <w:r>
        <w:rPr>
          <w:rFonts w:hint="eastAsia" w:ascii="仿宋_GB2312" w:eastAsia="仿宋_GB2312"/>
          <w:sz w:val="32"/>
          <w:szCs w:val="32"/>
        </w:rPr>
        <w:t>根据信息获取方式，综合考虑突发事件类型、发生地点、污染物质种类和数量等情况，制定不同级别预警的启动条件。</w:t>
      </w:r>
    </w:p>
    <w:p>
      <w:pPr>
        <w:spacing w:line="560" w:lineRule="exact"/>
        <w:ind w:firstLine="640"/>
        <w:rPr>
          <w:rFonts w:ascii="仿宋_GB2312" w:eastAsia="仿宋_GB2312"/>
          <w:sz w:val="32"/>
          <w:szCs w:val="32"/>
        </w:rPr>
      </w:pPr>
      <w:r>
        <w:rPr>
          <w:rFonts w:hint="eastAsia" w:ascii="仿宋_GB2312" w:eastAsia="仿宋_GB2312"/>
          <w:sz w:val="32"/>
          <w:szCs w:val="32"/>
        </w:rPr>
        <w:t>橙色、红色预警启动条件见表3.1-1所示。</w:t>
      </w:r>
    </w:p>
    <w:p>
      <w:pPr>
        <w:spacing w:line="560" w:lineRule="exact"/>
        <w:ind w:firstLine="560"/>
        <w:jc w:val="center"/>
      </w:pPr>
      <w:r>
        <w:t>表3.</w:t>
      </w:r>
      <w:r>
        <w:rPr>
          <w:rFonts w:hint="eastAsia"/>
        </w:rPr>
        <w:t>1</w:t>
      </w:r>
      <w:r>
        <w:t>-1</w:t>
      </w:r>
      <w:r>
        <w:tab/>
      </w:r>
      <w:r>
        <w:t>预警启动条件一览表</w:t>
      </w:r>
    </w:p>
    <w:tbl>
      <w:tblPr>
        <w:tblStyle w:val="24"/>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790"/>
        <w:gridCol w:w="50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0" w:type="dxa"/>
            <w:tcBorders>
              <w:bottom w:val="single" w:color="auto" w:sz="4" w:space="0"/>
            </w:tcBorders>
            <w:shd w:val="clear" w:color="auto" w:fill="auto"/>
            <w:vAlign w:val="center"/>
          </w:tcPr>
          <w:p>
            <w:pPr>
              <w:widowControl/>
              <w:spacing w:line="240" w:lineRule="atLeast"/>
              <w:ind w:firstLine="0" w:firstLineChars="0"/>
              <w:jc w:val="center"/>
              <w:rPr>
                <w:rFonts w:ascii="仿宋" w:hAnsi="仿宋" w:cs="仿宋"/>
                <w:kern w:val="0"/>
                <w:sz w:val="24"/>
                <w:szCs w:val="24"/>
              </w:rPr>
            </w:pPr>
            <w:r>
              <w:rPr>
                <w:rFonts w:hint="eastAsia" w:ascii="仿宋" w:hAnsi="仿宋" w:cs="仿宋"/>
                <w:kern w:val="0"/>
                <w:sz w:val="24"/>
                <w:szCs w:val="24"/>
              </w:rPr>
              <w:t>预警级别</w:t>
            </w:r>
          </w:p>
        </w:tc>
        <w:tc>
          <w:tcPr>
            <w:tcW w:w="2790" w:type="dxa"/>
            <w:tcBorders>
              <w:bottom w:val="single" w:color="auto" w:sz="4" w:space="0"/>
            </w:tcBorders>
            <w:shd w:val="clear" w:color="auto" w:fill="auto"/>
            <w:vAlign w:val="center"/>
          </w:tcPr>
          <w:p>
            <w:pPr>
              <w:widowControl/>
              <w:spacing w:line="240" w:lineRule="atLeast"/>
              <w:ind w:firstLine="0" w:firstLineChars="0"/>
              <w:jc w:val="center"/>
              <w:rPr>
                <w:rFonts w:ascii="仿宋" w:hAnsi="仿宋" w:cs="仿宋"/>
                <w:kern w:val="0"/>
                <w:sz w:val="24"/>
                <w:szCs w:val="24"/>
              </w:rPr>
            </w:pPr>
            <w:r>
              <w:rPr>
                <w:rFonts w:hint="eastAsia" w:ascii="仿宋" w:hAnsi="仿宋" w:cs="仿宋"/>
                <w:kern w:val="0"/>
                <w:sz w:val="24"/>
                <w:szCs w:val="24"/>
              </w:rPr>
              <w:t>橙色</w:t>
            </w:r>
          </w:p>
        </w:tc>
        <w:tc>
          <w:tcPr>
            <w:tcW w:w="5008" w:type="dxa"/>
            <w:tcBorders>
              <w:bottom w:val="single" w:color="auto" w:sz="4" w:space="0"/>
            </w:tcBorders>
            <w:vAlign w:val="center"/>
          </w:tcPr>
          <w:p>
            <w:pPr>
              <w:widowControl/>
              <w:spacing w:line="240" w:lineRule="atLeast"/>
              <w:ind w:firstLine="0" w:firstLineChars="0"/>
              <w:jc w:val="center"/>
              <w:rPr>
                <w:rFonts w:ascii="仿宋" w:hAnsi="仿宋" w:cs="仿宋"/>
                <w:kern w:val="0"/>
                <w:sz w:val="24"/>
                <w:szCs w:val="24"/>
              </w:rPr>
            </w:pPr>
            <w:r>
              <w:rPr>
                <w:rFonts w:hint="eastAsia" w:ascii="仿宋" w:hAnsi="仿宋" w:cs="仿宋"/>
                <w:kern w:val="0"/>
                <w:sz w:val="24"/>
                <w:szCs w:val="24"/>
              </w:rPr>
              <w:t>红色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0" w:type="dxa"/>
            <w:tcBorders>
              <w:top w:val="single" w:color="auto" w:sz="4" w:space="0"/>
              <w:bottom w:val="single" w:color="auto" w:sz="4" w:space="0"/>
              <w:right w:val="single" w:color="auto" w:sz="4" w:space="0"/>
            </w:tcBorders>
            <w:shd w:val="clear" w:color="auto" w:fill="auto"/>
            <w:vAlign w:val="center"/>
          </w:tcPr>
          <w:p>
            <w:pPr>
              <w:widowControl/>
              <w:spacing w:line="240" w:lineRule="atLeast"/>
              <w:ind w:firstLine="0" w:firstLineChars="0"/>
              <w:jc w:val="center"/>
              <w:rPr>
                <w:rFonts w:ascii="仿宋" w:hAnsi="仿宋" w:cs="仿宋"/>
                <w:kern w:val="0"/>
                <w:sz w:val="24"/>
                <w:szCs w:val="24"/>
              </w:rPr>
            </w:pPr>
            <w:r>
              <w:rPr>
                <w:rFonts w:hint="eastAsia" w:ascii="仿宋" w:hAnsi="仿宋" w:cs="仿宋"/>
                <w:kern w:val="0"/>
                <w:sz w:val="24"/>
                <w:szCs w:val="24"/>
              </w:rPr>
              <w:t>预警启动条件</w:t>
            </w:r>
          </w:p>
        </w:tc>
        <w:tc>
          <w:tcPr>
            <w:tcW w:w="2790" w:type="dxa"/>
            <w:tcBorders>
              <w:top w:val="single" w:color="auto" w:sz="4" w:space="0"/>
              <w:left w:val="single" w:color="auto" w:sz="4" w:space="0"/>
              <w:bottom w:val="single" w:color="auto" w:sz="4" w:space="0"/>
              <w:right w:val="single" w:color="auto" w:sz="4" w:space="0"/>
            </w:tcBorders>
            <w:shd w:val="clear" w:color="auto" w:fill="auto"/>
          </w:tcPr>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1、通过信息报告发现：</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⑴调查范围内发生暴雨等可能引发面源污染物的极端天气或发生固定源或流动源突发环境事件；</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2、通过监测发现水源保护区外或入江水系水质异常，尚未影响到水源保护区。</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3、其他应急指挥机构认为有必要启动橙色预警的情景</w:t>
            </w:r>
          </w:p>
        </w:tc>
        <w:tc>
          <w:tcPr>
            <w:tcW w:w="5008" w:type="dxa"/>
            <w:tcBorders>
              <w:top w:val="single" w:color="auto" w:sz="4" w:space="0"/>
              <w:left w:val="single" w:color="auto" w:sz="4" w:space="0"/>
              <w:bottom w:val="single" w:color="auto" w:sz="4" w:space="0"/>
            </w:tcBorders>
          </w:tcPr>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1、通过信息报告发现：</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⑴在二级保护区内发生突发环境事件；</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⑵污染物已扩散至距水源保护区的直线距离不足1000米的陆域或水域或不足1000米，但经水质监测和信息研判，判断污染物迁移至取水口位置时，相应指标浓度仍会超标的；</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2、通过监测发现水源保护区或浏河河口：</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⑴理化指标异常：</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①在二级保护区内，出现自动站水质监测指标超标或生物综合毒性异常，经实验室监（复）测确认的；</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②浏河断面出现水质监测指标、有毒有害物质或生物综合毒性异常，且污染物浓度持续升高的；</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⑵感官性状异常，即水体出现异常颜色或气味的；</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⑶生态指标异常，即水面出现大面积死鱼或生物综合毒性异常并经实验室监测后确认的。</w:t>
            </w:r>
          </w:p>
          <w:p>
            <w:pPr>
              <w:widowControl/>
              <w:spacing w:line="240" w:lineRule="atLeast"/>
              <w:ind w:firstLine="0" w:firstLineChars="0"/>
              <w:rPr>
                <w:rFonts w:ascii="仿宋" w:hAnsi="仿宋" w:cs="仿宋"/>
                <w:kern w:val="0"/>
                <w:sz w:val="24"/>
                <w:szCs w:val="24"/>
              </w:rPr>
            </w:pPr>
            <w:r>
              <w:rPr>
                <w:rFonts w:hint="eastAsia" w:ascii="仿宋" w:hAnsi="仿宋" w:cs="仿宋"/>
                <w:kern w:val="0"/>
                <w:sz w:val="24"/>
                <w:szCs w:val="24"/>
              </w:rPr>
              <w:t>3、其他应急指挥机构认为有必要启动红色预警的情景</w:t>
            </w:r>
          </w:p>
        </w:tc>
      </w:tr>
    </w:tbl>
    <w:p>
      <w:pPr>
        <w:pStyle w:val="6"/>
        <w:spacing w:line="560" w:lineRule="exact"/>
        <w:rPr>
          <w:rFonts w:ascii="仿宋_GB2312" w:eastAsia="仿宋_GB2312"/>
          <w:b w:val="0"/>
          <w:sz w:val="32"/>
          <w:szCs w:val="32"/>
        </w:rPr>
      </w:pPr>
      <w:bookmarkStart w:id="72" w:name="_Toc44927225"/>
      <w:r>
        <w:rPr>
          <w:rFonts w:hint="eastAsia" w:ascii="仿宋_GB2312" w:eastAsia="仿宋_GB2312"/>
          <w:b w:val="0"/>
          <w:sz w:val="32"/>
          <w:szCs w:val="32"/>
        </w:rPr>
        <w:t>3.1.3发布预警和预警级别调整</w:t>
      </w:r>
      <w:bookmarkEnd w:id="72"/>
    </w:p>
    <w:p>
      <w:pPr>
        <w:spacing w:line="560" w:lineRule="exact"/>
        <w:ind w:firstLine="640"/>
        <w:rPr>
          <w:rFonts w:ascii="仿宋_GB2312" w:eastAsia="仿宋_GB2312"/>
          <w:sz w:val="32"/>
          <w:szCs w:val="32"/>
        </w:rPr>
      </w:pPr>
      <w:r>
        <w:rPr>
          <w:rFonts w:hint="eastAsia" w:ascii="仿宋_GB2312" w:eastAsia="仿宋_GB2312"/>
          <w:sz w:val="32"/>
          <w:szCs w:val="32"/>
        </w:rPr>
        <w:t>现场应急指挥部负责对事件信息进行跟踪收集和研判，并根据达到的预警级别条件发布相应的预警。</w:t>
      </w:r>
    </w:p>
    <w:p>
      <w:pPr>
        <w:spacing w:line="560" w:lineRule="exact"/>
        <w:ind w:firstLine="640"/>
        <w:rPr>
          <w:rFonts w:ascii="仿宋_GB2312" w:eastAsia="仿宋_GB2312"/>
          <w:sz w:val="32"/>
          <w:szCs w:val="32"/>
        </w:rPr>
      </w:pPr>
      <w:r>
        <w:rPr>
          <w:rFonts w:hint="eastAsia" w:ascii="仿宋_GB2312" w:eastAsia="仿宋_GB2312"/>
          <w:sz w:val="32"/>
          <w:szCs w:val="32"/>
        </w:rPr>
        <w:t>预警信息发布后，可根据事态发展、采取措施的效果，适时调整预警级别并再次发布。</w:t>
      </w:r>
    </w:p>
    <w:p>
      <w:pPr>
        <w:spacing w:line="560" w:lineRule="exact"/>
        <w:ind w:firstLine="640"/>
        <w:rPr>
          <w:rFonts w:ascii="仿宋_GB2312" w:eastAsia="仿宋_GB2312"/>
          <w:sz w:val="32"/>
          <w:szCs w:val="32"/>
        </w:rPr>
      </w:pPr>
      <w:r>
        <w:rPr>
          <w:rFonts w:hint="eastAsia" w:ascii="仿宋_GB2312" w:eastAsia="仿宋_GB2312"/>
          <w:sz w:val="32"/>
          <w:szCs w:val="32"/>
        </w:rPr>
        <w:t>预警发布的对象，主要针对组织实施预警行动和应急处置行动的部门和单位。</w:t>
      </w:r>
    </w:p>
    <w:p>
      <w:pPr>
        <w:pStyle w:val="6"/>
        <w:spacing w:line="560" w:lineRule="exact"/>
        <w:rPr>
          <w:rFonts w:ascii="仿宋_GB2312" w:eastAsia="仿宋_GB2312"/>
          <w:b w:val="0"/>
          <w:sz w:val="32"/>
          <w:szCs w:val="32"/>
        </w:rPr>
      </w:pPr>
      <w:bookmarkStart w:id="73" w:name="_Toc44927226"/>
      <w:r>
        <w:rPr>
          <w:rFonts w:hint="eastAsia" w:ascii="仿宋_GB2312" w:eastAsia="仿宋_GB2312"/>
          <w:b w:val="0"/>
          <w:sz w:val="32"/>
          <w:szCs w:val="32"/>
        </w:rPr>
        <w:t>3.1.4预警行动</w:t>
      </w:r>
      <w:bookmarkEnd w:id="73"/>
    </w:p>
    <w:p>
      <w:pPr>
        <w:spacing w:line="560" w:lineRule="exact"/>
        <w:ind w:firstLine="640"/>
        <w:rPr>
          <w:rFonts w:ascii="仿宋_GB2312" w:eastAsia="仿宋_GB2312"/>
          <w:sz w:val="32"/>
          <w:szCs w:val="32"/>
        </w:rPr>
      </w:pPr>
      <w:r>
        <w:rPr>
          <w:rFonts w:hint="eastAsia" w:ascii="仿宋_GB2312" w:eastAsia="仿宋_GB2312"/>
          <w:sz w:val="32"/>
          <w:szCs w:val="32"/>
        </w:rPr>
        <w:t>发布橙色预警时，立即采取预警行动；发布红色预警时，现场应急指挥部主要成员到达现场，组织开展应急响应工作。</w:t>
      </w:r>
    </w:p>
    <w:p>
      <w:pPr>
        <w:spacing w:line="560" w:lineRule="exact"/>
        <w:ind w:firstLine="640"/>
        <w:rPr>
          <w:rFonts w:ascii="仿宋_GB2312" w:eastAsia="仿宋_GB2312"/>
          <w:sz w:val="32"/>
          <w:szCs w:val="32"/>
        </w:rPr>
      </w:pPr>
      <w:r>
        <w:rPr>
          <w:rFonts w:hint="eastAsia" w:ascii="仿宋_GB2312" w:eastAsia="仿宋_GB2312"/>
          <w:sz w:val="32"/>
          <w:szCs w:val="32"/>
        </w:rPr>
        <w:t>预警行动包含但不限于以下内容。</w:t>
      </w:r>
    </w:p>
    <w:p>
      <w:pPr>
        <w:spacing w:line="560" w:lineRule="exact"/>
        <w:ind w:firstLine="640"/>
        <w:rPr>
          <w:rFonts w:ascii="仿宋_GB2312" w:eastAsia="仿宋_GB2312"/>
          <w:sz w:val="32"/>
          <w:szCs w:val="32"/>
        </w:rPr>
      </w:pPr>
      <w:r>
        <w:rPr>
          <w:rFonts w:hint="eastAsia" w:ascii="仿宋_GB2312" w:eastAsia="仿宋_GB2312"/>
          <w:sz w:val="32"/>
          <w:szCs w:val="32"/>
        </w:rPr>
        <w:t>（1）下达启动水源地应急预案的命令。</w:t>
      </w:r>
    </w:p>
    <w:p>
      <w:pPr>
        <w:spacing w:line="560" w:lineRule="exact"/>
        <w:ind w:firstLine="640"/>
        <w:rPr>
          <w:rFonts w:ascii="仿宋_GB2312" w:eastAsia="仿宋_GB2312"/>
          <w:sz w:val="32"/>
          <w:szCs w:val="32"/>
        </w:rPr>
      </w:pPr>
      <w:r>
        <w:rPr>
          <w:rFonts w:hint="eastAsia" w:ascii="仿宋_GB2312" w:eastAsia="仿宋_GB2312"/>
          <w:sz w:val="32"/>
          <w:szCs w:val="32"/>
        </w:rPr>
        <w:t>（2）通知现场应急指挥部中的有关单位和人员做好应急准备，进入待命状态，必要时到达现场开展相关工作。</w:t>
      </w:r>
    </w:p>
    <w:p>
      <w:pPr>
        <w:spacing w:line="560" w:lineRule="exact"/>
        <w:ind w:firstLine="640"/>
        <w:rPr>
          <w:rFonts w:ascii="仿宋_GB2312" w:eastAsia="仿宋_GB2312"/>
          <w:sz w:val="32"/>
          <w:szCs w:val="32"/>
        </w:rPr>
      </w:pPr>
      <w:r>
        <w:rPr>
          <w:rFonts w:hint="eastAsia" w:ascii="仿宋_GB2312" w:eastAsia="仿宋_GB2312"/>
          <w:sz w:val="32"/>
          <w:szCs w:val="32"/>
        </w:rPr>
        <w:t>（3）通知市水务集团有限公司太仓市第三水厂进入待命状态，做好深度处理、低压供水的准备，第三水厂做好停止长江取水、启动备用水源准备。</w:t>
      </w:r>
    </w:p>
    <w:p>
      <w:pPr>
        <w:spacing w:line="560" w:lineRule="exact"/>
        <w:ind w:firstLine="640"/>
        <w:rPr>
          <w:rFonts w:ascii="仿宋_GB2312" w:eastAsia="仿宋_GB2312"/>
          <w:sz w:val="32"/>
          <w:szCs w:val="32"/>
        </w:rPr>
      </w:pPr>
      <w:r>
        <w:rPr>
          <w:rFonts w:hint="eastAsia" w:ascii="仿宋_GB2312" w:eastAsia="仿宋_GB2312"/>
          <w:sz w:val="32"/>
          <w:szCs w:val="32"/>
        </w:rPr>
        <w:t>（4）加强信息监控，核实突发环境事件污染来源、进入水体的污染物种类和总量、污染扩散范围等信息。</w:t>
      </w:r>
    </w:p>
    <w:p>
      <w:pPr>
        <w:spacing w:line="560" w:lineRule="exact"/>
        <w:ind w:firstLine="640"/>
        <w:rPr>
          <w:rFonts w:ascii="仿宋_GB2312" w:eastAsia="仿宋_GB2312"/>
          <w:sz w:val="32"/>
          <w:szCs w:val="32"/>
        </w:rPr>
      </w:pPr>
      <w:r>
        <w:rPr>
          <w:rFonts w:hint="eastAsia" w:ascii="仿宋_GB2312" w:eastAsia="仿宋_GB2312"/>
          <w:sz w:val="32"/>
          <w:szCs w:val="32"/>
        </w:rPr>
        <w:t>（5）开展应急监测或做好应急监测准备。</w:t>
      </w:r>
    </w:p>
    <w:p>
      <w:pPr>
        <w:spacing w:line="560" w:lineRule="exact"/>
        <w:ind w:firstLine="640"/>
        <w:rPr>
          <w:rFonts w:ascii="仿宋_GB2312" w:eastAsia="仿宋_GB2312"/>
          <w:sz w:val="32"/>
          <w:szCs w:val="32"/>
        </w:rPr>
      </w:pPr>
      <w:r>
        <w:rPr>
          <w:rFonts w:hint="eastAsia" w:ascii="仿宋_GB2312" w:eastAsia="仿宋_GB2312"/>
          <w:sz w:val="32"/>
          <w:szCs w:val="32"/>
        </w:rPr>
        <w:t>（6）做好事件信息上报和通报。</w:t>
      </w:r>
    </w:p>
    <w:p>
      <w:pPr>
        <w:spacing w:line="560" w:lineRule="exact"/>
        <w:ind w:firstLine="640"/>
        <w:rPr>
          <w:rFonts w:ascii="仿宋_GB2312" w:eastAsia="仿宋_GB2312"/>
          <w:sz w:val="32"/>
          <w:szCs w:val="32"/>
        </w:rPr>
      </w:pPr>
      <w:r>
        <w:rPr>
          <w:rFonts w:hint="eastAsia" w:ascii="仿宋_GB2312" w:eastAsia="仿宋_GB2312"/>
          <w:sz w:val="32"/>
          <w:szCs w:val="32"/>
        </w:rPr>
        <w:t>（7）调集所需应急物资和设备，做好应急保障。</w:t>
      </w:r>
    </w:p>
    <w:p>
      <w:pPr>
        <w:spacing w:line="560" w:lineRule="exact"/>
        <w:ind w:firstLine="640"/>
        <w:rPr>
          <w:rFonts w:ascii="仿宋_GB2312" w:eastAsia="仿宋_GB2312"/>
          <w:sz w:val="32"/>
          <w:szCs w:val="32"/>
        </w:rPr>
      </w:pPr>
      <w:r>
        <w:rPr>
          <w:rFonts w:hint="eastAsia" w:ascii="仿宋_GB2312" w:eastAsia="仿宋_GB2312"/>
          <w:sz w:val="32"/>
          <w:szCs w:val="32"/>
        </w:rPr>
        <w:t>（8）在危险区域设置提示或警告标志。</w:t>
      </w:r>
    </w:p>
    <w:p>
      <w:pPr>
        <w:spacing w:line="560" w:lineRule="exact"/>
        <w:ind w:firstLine="640"/>
        <w:rPr>
          <w:rFonts w:ascii="仿宋_GB2312" w:eastAsia="仿宋_GB2312"/>
          <w:sz w:val="32"/>
          <w:szCs w:val="32"/>
        </w:rPr>
      </w:pPr>
      <w:r>
        <w:rPr>
          <w:rFonts w:hint="eastAsia" w:ascii="仿宋_GB2312" w:eastAsia="仿宋_GB2312"/>
          <w:sz w:val="32"/>
          <w:szCs w:val="32"/>
        </w:rPr>
        <w:t>（9）必要时，及时通过电视、网络和短信等媒体向公众发布信息。</w:t>
      </w:r>
    </w:p>
    <w:p>
      <w:pPr>
        <w:spacing w:line="560" w:lineRule="exact"/>
        <w:ind w:firstLine="640"/>
        <w:rPr>
          <w:rFonts w:ascii="仿宋_GB2312" w:eastAsia="仿宋_GB2312"/>
          <w:sz w:val="32"/>
          <w:szCs w:val="32"/>
        </w:rPr>
      </w:pPr>
      <w:r>
        <w:rPr>
          <w:rFonts w:hint="eastAsia" w:ascii="仿宋_GB2312" w:eastAsia="仿宋_GB2312"/>
          <w:sz w:val="32"/>
          <w:szCs w:val="32"/>
        </w:rPr>
        <w:t>（10）加强舆情监测、引导和应对工作。</w:t>
      </w:r>
    </w:p>
    <w:p>
      <w:pPr>
        <w:pStyle w:val="6"/>
        <w:spacing w:line="560" w:lineRule="exact"/>
        <w:rPr>
          <w:rFonts w:ascii="仿宋_GB2312" w:eastAsia="仿宋_GB2312"/>
          <w:b w:val="0"/>
          <w:sz w:val="32"/>
          <w:szCs w:val="32"/>
        </w:rPr>
      </w:pPr>
      <w:bookmarkStart w:id="74" w:name="_Toc44927227"/>
      <w:r>
        <w:rPr>
          <w:rFonts w:hint="eastAsia" w:ascii="仿宋_GB2312" w:eastAsia="仿宋_GB2312"/>
          <w:b w:val="0"/>
          <w:sz w:val="32"/>
          <w:szCs w:val="32"/>
        </w:rPr>
        <w:t>3.1.5预警解除</w:t>
      </w:r>
      <w:bookmarkEnd w:id="74"/>
    </w:p>
    <w:p>
      <w:pPr>
        <w:spacing w:line="560" w:lineRule="exact"/>
        <w:ind w:firstLine="640"/>
        <w:rPr>
          <w:rFonts w:ascii="仿宋_GB2312" w:eastAsia="仿宋_GB2312"/>
          <w:sz w:val="32"/>
          <w:szCs w:val="32"/>
        </w:rPr>
      </w:pPr>
      <w:r>
        <w:rPr>
          <w:rFonts w:hint="eastAsia" w:ascii="仿宋_GB2312" w:eastAsia="仿宋_GB2312"/>
          <w:sz w:val="32"/>
          <w:szCs w:val="32"/>
        </w:rPr>
        <w:t>当满足章节3.11响应终止条件时，由现场应急指挥部宣布解除预警，终止已经采取的有关行动和措施。</w:t>
      </w:r>
    </w:p>
    <w:p>
      <w:pPr>
        <w:pStyle w:val="5"/>
        <w:spacing w:before="156" w:after="156" w:line="560" w:lineRule="exact"/>
        <w:rPr>
          <w:rFonts w:ascii="楷体" w:hAnsi="楷体" w:eastAsia="楷体"/>
          <w:b w:val="0"/>
          <w:sz w:val="32"/>
          <w:szCs w:val="32"/>
        </w:rPr>
      </w:pPr>
      <w:bookmarkStart w:id="75" w:name="_Toc44927228"/>
      <w:r>
        <w:rPr>
          <w:rFonts w:hint="eastAsia" w:ascii="楷体" w:hAnsi="楷体" w:eastAsia="楷体"/>
          <w:b w:val="0"/>
          <w:sz w:val="32"/>
          <w:szCs w:val="32"/>
        </w:rPr>
        <w:t>3.2信息报告与通报</w:t>
      </w:r>
      <w:bookmarkEnd w:id="75"/>
    </w:p>
    <w:p>
      <w:pPr>
        <w:pStyle w:val="6"/>
        <w:spacing w:line="560" w:lineRule="exact"/>
        <w:rPr>
          <w:rFonts w:ascii="仿宋_GB2312" w:eastAsia="仿宋_GB2312"/>
          <w:b w:val="0"/>
          <w:sz w:val="32"/>
          <w:szCs w:val="32"/>
        </w:rPr>
      </w:pPr>
      <w:bookmarkStart w:id="76" w:name="_Toc44927229"/>
      <w:r>
        <w:rPr>
          <w:rFonts w:hint="eastAsia" w:ascii="仿宋_GB2312" w:eastAsia="仿宋_GB2312"/>
          <w:b w:val="0"/>
          <w:sz w:val="32"/>
          <w:szCs w:val="32"/>
        </w:rPr>
        <w:t>3.2.1信息报告程序</w:t>
      </w:r>
      <w:bookmarkEnd w:id="76"/>
    </w:p>
    <w:p>
      <w:pPr>
        <w:spacing w:line="560" w:lineRule="exact"/>
        <w:ind w:firstLine="640"/>
        <w:rPr>
          <w:rFonts w:ascii="仿宋_GB2312" w:eastAsia="仿宋_GB2312"/>
          <w:sz w:val="32"/>
          <w:szCs w:val="32"/>
        </w:rPr>
      </w:pPr>
      <w:r>
        <w:rPr>
          <w:rFonts w:hint="eastAsia" w:ascii="仿宋_GB2312" w:eastAsia="仿宋_GB2312"/>
          <w:sz w:val="32"/>
          <w:szCs w:val="32"/>
        </w:rPr>
        <w:t>（1）发现已经造成或可能造成水源地污染的有关人员和责任单位，即固定源事件中的企业人员、流动源事件中的车辆、船舶人员等，按照有关规定立即向本级人民政府应急组织指挥机构及生态环境局报告。</w:t>
      </w:r>
    </w:p>
    <w:p>
      <w:pPr>
        <w:spacing w:line="560" w:lineRule="exact"/>
        <w:ind w:firstLine="640"/>
        <w:rPr>
          <w:rFonts w:ascii="仿宋_GB2312" w:eastAsia="仿宋_GB2312"/>
          <w:sz w:val="32"/>
          <w:szCs w:val="32"/>
        </w:rPr>
      </w:pPr>
      <w:r>
        <w:rPr>
          <w:rFonts w:hint="eastAsia" w:ascii="仿宋_GB2312" w:eastAsia="仿宋_GB2312"/>
          <w:sz w:val="32"/>
          <w:szCs w:val="32"/>
        </w:rPr>
        <w:t>（2）太仓市人民政府有关部门（市政府办、市公安局、</w:t>
      </w:r>
      <w:r>
        <w:rPr>
          <w:rFonts w:ascii="仿宋_GB2312" w:eastAsia="仿宋_GB2312"/>
          <w:sz w:val="32"/>
          <w:szCs w:val="32"/>
        </w:rPr>
        <w:t>市交运局</w:t>
      </w:r>
      <w:r>
        <w:rPr>
          <w:rFonts w:hint="eastAsia" w:ascii="仿宋_GB2312" w:eastAsia="仿宋_GB2312"/>
          <w:sz w:val="32"/>
          <w:szCs w:val="32"/>
        </w:rPr>
        <w:t>、</w:t>
      </w:r>
      <w:r>
        <w:rPr>
          <w:rFonts w:ascii="仿宋_GB2312" w:eastAsia="仿宋_GB2312"/>
          <w:sz w:val="32"/>
          <w:szCs w:val="32"/>
        </w:rPr>
        <w:t>市水务局</w:t>
      </w:r>
      <w:r>
        <w:rPr>
          <w:rFonts w:hint="eastAsia" w:ascii="仿宋_GB2312" w:eastAsia="仿宋_GB2312"/>
          <w:sz w:val="32"/>
          <w:szCs w:val="32"/>
        </w:rPr>
        <w:t>等）及市生态环境局、市海事局、太仓港口管委会、浏河镇等在太仓境内沿江段在发现或得知水源地突发环境事件信息后，立即进行核实，了解有关情况。经过核实后，1小时内向太仓市人民政府应急组织指挥机构报告。</w:t>
      </w:r>
    </w:p>
    <w:p>
      <w:pPr>
        <w:spacing w:line="560" w:lineRule="exact"/>
        <w:ind w:firstLine="640"/>
        <w:rPr>
          <w:rFonts w:ascii="仿宋_GB2312" w:eastAsia="仿宋_GB2312"/>
          <w:sz w:val="32"/>
          <w:szCs w:val="32"/>
        </w:rPr>
      </w:pPr>
      <w:r>
        <w:rPr>
          <w:rFonts w:hint="eastAsia" w:ascii="仿宋_GB2312" w:eastAsia="仿宋_GB2312"/>
          <w:sz w:val="32"/>
          <w:szCs w:val="32"/>
        </w:rPr>
        <w:t>（3）苏州市主管部门先于太仓市主管部门获悉水源地突发环境事件信息的，市政府办、市公安局、</w:t>
      </w:r>
      <w:r>
        <w:rPr>
          <w:rFonts w:ascii="仿宋_GB2312" w:eastAsia="仿宋_GB2312"/>
          <w:sz w:val="32"/>
          <w:szCs w:val="32"/>
        </w:rPr>
        <w:t>市交运局</w:t>
      </w:r>
      <w:r>
        <w:rPr>
          <w:rFonts w:hint="eastAsia" w:ascii="仿宋_GB2312" w:eastAsia="仿宋_GB2312"/>
          <w:sz w:val="32"/>
          <w:szCs w:val="32"/>
        </w:rPr>
        <w:t>、</w:t>
      </w:r>
      <w:r>
        <w:rPr>
          <w:rFonts w:ascii="仿宋_GB2312" w:eastAsia="仿宋_GB2312"/>
          <w:sz w:val="32"/>
          <w:szCs w:val="32"/>
        </w:rPr>
        <w:t>市水务局</w:t>
      </w:r>
      <w:r>
        <w:rPr>
          <w:rFonts w:hint="eastAsia" w:ascii="仿宋_GB2312" w:eastAsia="仿宋_GB2312"/>
          <w:sz w:val="32"/>
          <w:szCs w:val="32"/>
        </w:rPr>
        <w:t>等）及市生态环境局、市海事局、太仓港口管委会、浏河镇等要核实并向太仓市人民政府应急组织指挥机构报告相应信息。</w:t>
      </w:r>
    </w:p>
    <w:p>
      <w:pPr>
        <w:pStyle w:val="6"/>
        <w:spacing w:line="560" w:lineRule="exact"/>
        <w:rPr>
          <w:rFonts w:ascii="仿宋_GB2312" w:eastAsia="仿宋_GB2312"/>
          <w:b w:val="0"/>
          <w:sz w:val="32"/>
          <w:szCs w:val="32"/>
        </w:rPr>
      </w:pPr>
      <w:bookmarkStart w:id="77" w:name="_Toc44927230"/>
      <w:r>
        <w:rPr>
          <w:rFonts w:hint="eastAsia" w:ascii="仿宋_GB2312" w:eastAsia="仿宋_GB2312"/>
          <w:b w:val="0"/>
          <w:sz w:val="32"/>
          <w:szCs w:val="32"/>
        </w:rPr>
        <w:t>3.2.3信息报告和通报内容</w:t>
      </w:r>
      <w:bookmarkEnd w:id="77"/>
    </w:p>
    <w:p>
      <w:pPr>
        <w:spacing w:line="560" w:lineRule="exact"/>
        <w:ind w:firstLine="640"/>
        <w:rPr>
          <w:rFonts w:ascii="仿宋_GB2312" w:eastAsia="仿宋_GB2312"/>
          <w:sz w:val="32"/>
          <w:szCs w:val="32"/>
        </w:rPr>
      </w:pPr>
      <w:r>
        <w:rPr>
          <w:rFonts w:hint="eastAsia" w:ascii="仿宋_GB2312" w:eastAsia="仿宋_GB2312"/>
          <w:sz w:val="32"/>
          <w:szCs w:val="32"/>
        </w:rPr>
        <w:t>按照不同的时间节点，水源地突发环境事件报告分为初报、续报和处理结果报告。</w:t>
      </w:r>
    </w:p>
    <w:p>
      <w:pPr>
        <w:spacing w:line="560" w:lineRule="exact"/>
        <w:ind w:firstLine="640"/>
        <w:rPr>
          <w:rFonts w:ascii="仿宋_GB2312" w:eastAsia="仿宋_GB2312"/>
          <w:sz w:val="32"/>
          <w:szCs w:val="32"/>
        </w:rPr>
      </w:pPr>
      <w:r>
        <w:rPr>
          <w:rFonts w:hint="eastAsia" w:ascii="仿宋_GB2312" w:eastAsia="仿宋_GB2312"/>
          <w:sz w:val="32"/>
          <w:szCs w:val="32"/>
        </w:rPr>
        <w:t>（1）初报是发现或得知突发环境事件后的首次报告，由市水务局、市生态环境局根据太仓市人民政府应急组织指挥机构通报的信息，立刻前往事故区域核实调查，核实后报告水源地突发环境事件的发生时间、地点、信息来源、事件起因和性质、基本过程、主要污染物和数量、监测结果、人员伤亡情况、水源地受影响情况、事件发展趋势、处置情况、拟采取的措施以及下一步工作建议等初步情况。一般采用书面报告，在太仓市人民政府应急组织指挥机构获知事件信息一小时内报告。情况紧急时，可先通过电话报告，并及时补充书面报告。书面报告写明突发环境事件报告单位、报告签发人、联系人及联系电话等内容，并提供地图、图片以及多媒体资料。</w:t>
      </w:r>
    </w:p>
    <w:p>
      <w:pPr>
        <w:spacing w:line="560" w:lineRule="exact"/>
        <w:ind w:firstLine="640"/>
        <w:rPr>
          <w:rFonts w:ascii="仿宋_GB2312" w:eastAsia="仿宋_GB2312"/>
          <w:sz w:val="32"/>
          <w:szCs w:val="32"/>
        </w:rPr>
      </w:pPr>
      <w:r>
        <w:rPr>
          <w:rFonts w:hint="eastAsia" w:ascii="仿宋_GB2312" w:eastAsia="仿宋_GB2312"/>
          <w:sz w:val="32"/>
          <w:szCs w:val="32"/>
        </w:rPr>
        <w:t>（2）续报是查清基本情况、事件发展情况后的报告，可随时报告。在初报的基础上，由现场指挥部组织市水务局、市生态环境局等部门报告事件及有关处置措施的进展情况。</w:t>
      </w:r>
    </w:p>
    <w:p>
      <w:pPr>
        <w:spacing w:line="560" w:lineRule="exact"/>
        <w:ind w:firstLine="640"/>
        <w:rPr>
          <w:rFonts w:ascii="仿宋_GB2312" w:eastAsia="仿宋_GB2312"/>
          <w:sz w:val="32"/>
          <w:szCs w:val="32"/>
        </w:rPr>
      </w:pPr>
      <w:r>
        <w:rPr>
          <w:rFonts w:hint="eastAsia" w:ascii="仿宋_GB2312" w:eastAsia="仿宋_GB2312"/>
          <w:sz w:val="32"/>
          <w:szCs w:val="32"/>
        </w:rPr>
        <w:t>（3）处理结果报告是突发环境事件处理完毕后的报告，在初报、续报的基础上，报告突发环境事件的处置措施、过程和结果等详细情况。报告采用书面形式，由现场指挥部组织市</w:t>
      </w:r>
      <w:r>
        <w:rPr>
          <w:sz w:val="32"/>
          <w:szCs w:val="32"/>
        </w:rPr>
        <w:t>水务局、</w:t>
      </w:r>
      <w:r>
        <w:rPr>
          <w:rFonts w:hint="eastAsia" w:ascii="仿宋_GB2312" w:eastAsia="仿宋_GB2312"/>
          <w:sz w:val="32"/>
          <w:szCs w:val="32"/>
        </w:rPr>
        <w:t>市生态环境局等部门在事件处理完毕后1小时内报告。</w:t>
      </w:r>
    </w:p>
    <w:p>
      <w:pPr>
        <w:pStyle w:val="5"/>
        <w:spacing w:before="156" w:after="156" w:line="560" w:lineRule="exact"/>
        <w:rPr>
          <w:rFonts w:ascii="楷体" w:hAnsi="楷体" w:eastAsia="楷体"/>
          <w:b w:val="0"/>
          <w:sz w:val="32"/>
          <w:szCs w:val="32"/>
        </w:rPr>
      </w:pPr>
      <w:bookmarkStart w:id="78" w:name="_Toc44927231"/>
      <w:r>
        <w:rPr>
          <w:rFonts w:hint="eastAsia" w:ascii="楷体" w:hAnsi="楷体" w:eastAsia="楷体"/>
          <w:b w:val="0"/>
          <w:sz w:val="32"/>
          <w:szCs w:val="32"/>
        </w:rPr>
        <w:t>3.3应急监测</w:t>
      </w:r>
      <w:bookmarkEnd w:id="78"/>
    </w:p>
    <w:p>
      <w:pPr>
        <w:pStyle w:val="6"/>
        <w:spacing w:line="560" w:lineRule="exact"/>
        <w:rPr>
          <w:rFonts w:ascii="仿宋_GB2312" w:eastAsia="仿宋_GB2312"/>
          <w:b w:val="0"/>
          <w:sz w:val="32"/>
          <w:szCs w:val="32"/>
        </w:rPr>
      </w:pPr>
      <w:bookmarkStart w:id="79" w:name="_Toc44927232"/>
      <w:r>
        <w:rPr>
          <w:rFonts w:hint="eastAsia" w:ascii="仿宋_GB2312" w:eastAsia="仿宋_GB2312"/>
          <w:b w:val="0"/>
          <w:sz w:val="32"/>
          <w:szCs w:val="32"/>
        </w:rPr>
        <w:t>3.3.1开展应急监测程序</w:t>
      </w:r>
      <w:bookmarkEnd w:id="79"/>
    </w:p>
    <w:p>
      <w:pPr>
        <w:spacing w:line="560" w:lineRule="exact"/>
        <w:ind w:firstLine="640"/>
        <w:rPr>
          <w:rFonts w:ascii="仿宋_GB2312" w:eastAsia="仿宋_GB2312"/>
          <w:sz w:val="32"/>
          <w:szCs w:val="32"/>
        </w:rPr>
      </w:pPr>
      <w:r>
        <w:rPr>
          <w:rFonts w:hint="eastAsia" w:ascii="仿宋_GB2312" w:eastAsia="仿宋_GB2312"/>
          <w:sz w:val="32"/>
          <w:szCs w:val="32"/>
        </w:rPr>
        <w:t>发布预警后，由苏州市太仓环境监测站实施应急监测。</w:t>
      </w:r>
    </w:p>
    <w:p>
      <w:pPr>
        <w:spacing w:line="560" w:lineRule="exact"/>
        <w:ind w:firstLine="640"/>
        <w:rPr>
          <w:rFonts w:ascii="仿宋_GB2312" w:eastAsia="仿宋_GB2312"/>
          <w:sz w:val="32"/>
          <w:szCs w:val="32"/>
        </w:rPr>
      </w:pPr>
      <w:r>
        <w:rPr>
          <w:rFonts w:hint="eastAsia" w:ascii="仿宋_GB2312" w:eastAsia="仿宋_GB2312"/>
          <w:sz w:val="32"/>
          <w:szCs w:val="32"/>
        </w:rPr>
        <w:t>事件处置初期，苏州市太仓环境监测站应按照现场应急指挥部命令，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pPr>
        <w:spacing w:line="560" w:lineRule="exact"/>
        <w:ind w:firstLine="640"/>
        <w:rPr>
          <w:rFonts w:ascii="仿宋_GB2312" w:eastAsia="仿宋_GB2312"/>
          <w:sz w:val="32"/>
          <w:szCs w:val="32"/>
        </w:rPr>
      </w:pPr>
      <w:r>
        <w:rPr>
          <w:rFonts w:hint="eastAsia" w:ascii="仿宋_GB2312" w:eastAsia="仿宋_GB2312"/>
          <w:sz w:val="32"/>
          <w:szCs w:val="32"/>
        </w:rPr>
        <w:t>事件处置中期，根据事态发展，如上游来水量、应急处置措施效果等情况，适时调整监测点位（断面）和监测频次。</w:t>
      </w:r>
    </w:p>
    <w:p>
      <w:pPr>
        <w:spacing w:line="560" w:lineRule="exact"/>
        <w:ind w:firstLine="640"/>
        <w:rPr>
          <w:rFonts w:ascii="仿宋_GB2312" w:eastAsia="仿宋_GB2312"/>
          <w:sz w:val="32"/>
          <w:szCs w:val="32"/>
        </w:rPr>
      </w:pPr>
      <w:r>
        <w:rPr>
          <w:rFonts w:hint="eastAsia" w:ascii="仿宋_GB2312" w:eastAsia="仿宋_GB2312"/>
          <w:sz w:val="32"/>
          <w:szCs w:val="32"/>
        </w:rPr>
        <w:t>事件处置末期，按照现场应急指挥部命令，停止应急监测，并向现场应急指挥部提交应急监测总结报告。</w:t>
      </w:r>
    </w:p>
    <w:p>
      <w:pPr>
        <w:pStyle w:val="6"/>
        <w:spacing w:line="560" w:lineRule="exact"/>
        <w:rPr>
          <w:rFonts w:ascii="仿宋_GB2312" w:eastAsia="仿宋_GB2312"/>
          <w:b w:val="0"/>
          <w:sz w:val="32"/>
          <w:szCs w:val="32"/>
        </w:rPr>
      </w:pPr>
      <w:bookmarkStart w:id="80" w:name="_Toc44927233"/>
      <w:r>
        <w:rPr>
          <w:rFonts w:hint="eastAsia" w:ascii="仿宋_GB2312" w:eastAsia="仿宋_GB2312"/>
          <w:b w:val="0"/>
          <w:sz w:val="32"/>
          <w:szCs w:val="32"/>
        </w:rPr>
        <w:t>3.3.2制定应急监测方案</w:t>
      </w:r>
      <w:bookmarkEnd w:id="80"/>
    </w:p>
    <w:p>
      <w:pPr>
        <w:spacing w:line="560" w:lineRule="exact"/>
        <w:ind w:firstLine="640"/>
        <w:rPr>
          <w:rFonts w:ascii="仿宋_GB2312" w:eastAsia="仿宋_GB2312"/>
          <w:sz w:val="32"/>
          <w:szCs w:val="32"/>
        </w:rPr>
      </w:pPr>
      <w:r>
        <w:rPr>
          <w:rFonts w:hint="eastAsia" w:ascii="仿宋_GB2312" w:eastAsia="仿宋_GB2312"/>
          <w:sz w:val="32"/>
          <w:szCs w:val="32"/>
        </w:rPr>
        <w:t>苏州市太仓环境监测站指定的应急监测方案包括依据的技术规范、实施人员、布点原则、采样频次和注意事项、监测结果记录和报告方式等内容。</w:t>
      </w:r>
    </w:p>
    <w:p>
      <w:pPr>
        <w:spacing w:line="560" w:lineRule="exact"/>
        <w:ind w:firstLine="640"/>
        <w:rPr>
          <w:rFonts w:ascii="仿宋_GB2312" w:eastAsia="仿宋_GB2312"/>
          <w:sz w:val="32"/>
          <w:szCs w:val="32"/>
        </w:rPr>
      </w:pPr>
      <w:r>
        <w:rPr>
          <w:rFonts w:hint="eastAsia" w:ascii="仿宋_GB2312" w:eastAsia="仿宋_GB2312"/>
          <w:sz w:val="32"/>
          <w:szCs w:val="32"/>
        </w:rPr>
        <w:t>应急监测重点是抓住污染带前锋、峰值位置和浓度变化，对污染带移动过程形成动态监控。当污染来源不明时，先通过应急监测确定特征污染物成份，再进行污染源排查和先期处置。</w:t>
      </w:r>
    </w:p>
    <w:p>
      <w:pPr>
        <w:spacing w:line="560" w:lineRule="exact"/>
        <w:ind w:firstLine="640"/>
        <w:rPr>
          <w:rFonts w:ascii="仿宋_GB2312" w:eastAsia="仿宋_GB2312"/>
          <w:sz w:val="32"/>
          <w:szCs w:val="32"/>
        </w:rPr>
      </w:pPr>
      <w:r>
        <w:rPr>
          <w:rFonts w:hint="eastAsia" w:ascii="仿宋_GB2312" w:eastAsia="仿宋_GB2312"/>
          <w:sz w:val="32"/>
          <w:szCs w:val="32"/>
        </w:rPr>
        <w:t>应急监测原则和注意事项包括但不限于以下内容。</w:t>
      </w:r>
    </w:p>
    <w:p>
      <w:pPr>
        <w:spacing w:line="560" w:lineRule="exact"/>
        <w:ind w:firstLine="640"/>
        <w:rPr>
          <w:rFonts w:ascii="仿宋_GB2312" w:eastAsia="仿宋_GB2312"/>
          <w:sz w:val="32"/>
          <w:szCs w:val="32"/>
        </w:rPr>
      </w:pPr>
      <w:r>
        <w:rPr>
          <w:rFonts w:hint="eastAsia" w:ascii="仿宋_GB2312" w:eastAsia="仿宋_GB2312"/>
          <w:sz w:val="32"/>
          <w:szCs w:val="32"/>
        </w:rPr>
        <w:t>（1）监测范围。尽量涵盖水源地突发环境事件的污染范围，并包括事件可能影响区域和污染物本底浓度的监测区域。</w:t>
      </w:r>
    </w:p>
    <w:p>
      <w:pPr>
        <w:spacing w:line="560" w:lineRule="exact"/>
        <w:ind w:firstLine="640"/>
        <w:rPr>
          <w:rFonts w:ascii="仿宋_GB2312" w:eastAsia="仿宋_GB2312"/>
          <w:sz w:val="32"/>
          <w:szCs w:val="32"/>
        </w:rPr>
      </w:pPr>
      <w:r>
        <w:rPr>
          <w:rFonts w:hint="eastAsia" w:ascii="仿宋_GB2312" w:eastAsia="仿宋_GB2312"/>
          <w:sz w:val="32"/>
          <w:szCs w:val="32"/>
        </w:rPr>
        <w:t>（2）监测布点和频次。以突发环境事件发生地点为中心或源头，结合水文和气象条件，在其扩散方向及可能受到影响的水源地位置合理布点（断面），必要时在事故影响区域内水源取水口处设置监测点位。采取不同点位（断面）相同间隔时间（一般为1小时）同步采样监测方式，动态监控污染带移动过程。</w:t>
      </w:r>
    </w:p>
    <w:p>
      <w:pPr>
        <w:spacing w:line="560" w:lineRule="exact"/>
        <w:ind w:firstLine="640"/>
        <w:rPr>
          <w:rFonts w:ascii="仿宋_GB2312" w:eastAsia="仿宋_GB2312"/>
          <w:sz w:val="32"/>
          <w:szCs w:val="32"/>
        </w:rPr>
      </w:pPr>
      <w:r>
        <w:rPr>
          <w:rFonts w:hint="eastAsia" w:ascii="仿宋_GB2312" w:eastAsia="仿宋_GB2312"/>
          <w:sz w:val="32"/>
          <w:szCs w:val="32"/>
        </w:rPr>
        <w:t>①针对固定源突发环境事件，对固定源附近水域、下游水源地附近水域进行加密跟踪监测。</w:t>
      </w:r>
    </w:p>
    <w:p>
      <w:pPr>
        <w:spacing w:line="560" w:lineRule="exact"/>
        <w:ind w:firstLine="640"/>
        <w:rPr>
          <w:rFonts w:ascii="仿宋_GB2312" w:eastAsia="仿宋_GB2312"/>
          <w:sz w:val="32"/>
          <w:szCs w:val="32"/>
        </w:rPr>
      </w:pPr>
      <w:r>
        <w:rPr>
          <w:rFonts w:hint="eastAsia" w:ascii="仿宋_GB2312" w:eastAsia="仿宋_GB2312"/>
          <w:sz w:val="32"/>
          <w:szCs w:val="32"/>
        </w:rPr>
        <w:t>②针对流动源、非点源突发环境事件，对事发区域下游水域、下游水源地附近进行加密跟踪监测。</w:t>
      </w:r>
    </w:p>
    <w:p>
      <w:pPr>
        <w:spacing w:line="560" w:lineRule="exact"/>
        <w:ind w:firstLine="640"/>
        <w:rPr>
          <w:rFonts w:ascii="仿宋_GB2312" w:eastAsia="仿宋_GB2312"/>
          <w:sz w:val="32"/>
          <w:szCs w:val="32"/>
        </w:rPr>
      </w:pPr>
      <w:r>
        <w:rPr>
          <w:rFonts w:hint="eastAsia" w:ascii="仿宋_GB2312" w:eastAsia="仿宋_GB2312"/>
          <w:sz w:val="32"/>
          <w:szCs w:val="32"/>
        </w:rPr>
        <w:t>（3）现场采样。制定采样计划和准备采样器材。采样量同时满足快速监测、实验室监测和留样的需要。采样频次考虑污染程度和现场水文条件，按照应急专家组的意见确定。</w:t>
      </w:r>
    </w:p>
    <w:p>
      <w:pPr>
        <w:spacing w:line="560" w:lineRule="exact"/>
        <w:ind w:firstLine="640"/>
        <w:rPr>
          <w:rFonts w:ascii="仿宋_GB2312" w:eastAsia="仿宋_GB2312"/>
          <w:sz w:val="32"/>
          <w:szCs w:val="32"/>
        </w:rPr>
      </w:pPr>
      <w:r>
        <w:rPr>
          <w:rFonts w:hint="eastAsia" w:ascii="仿宋_GB2312" w:eastAsia="仿宋_GB2312"/>
          <w:sz w:val="32"/>
          <w:szCs w:val="32"/>
        </w:rPr>
        <w:t>（4）监测项目。通过现场信息收集、信息研判、代表性样品分析等途径，确定主要污染物及监测项目。监测项目考虑主要污染物在环境中可能产生的化学反应、衍生成其他有毒有害物质，同时开展水生生物指标的监测，为后期损害评估提供第一手资料。</w:t>
      </w:r>
    </w:p>
    <w:p>
      <w:pPr>
        <w:spacing w:line="560" w:lineRule="exact"/>
        <w:ind w:firstLine="640"/>
        <w:rPr>
          <w:rFonts w:ascii="仿宋_GB2312" w:eastAsia="仿宋_GB2312"/>
          <w:sz w:val="32"/>
          <w:szCs w:val="32"/>
        </w:rPr>
      </w:pPr>
      <w:r>
        <w:rPr>
          <w:rFonts w:hint="eastAsia" w:ascii="仿宋_GB2312" w:eastAsia="仿宋_GB2312"/>
          <w:sz w:val="32"/>
          <w:szCs w:val="32"/>
        </w:rPr>
        <w:t>（5）分析方法。具备现场监测条件的监测项目，尽量在现场监测。必要时，备份样品送实验室监（复）测，以确认现场定性或定量监测结果的准确性。</w:t>
      </w:r>
    </w:p>
    <w:p>
      <w:pPr>
        <w:spacing w:line="560" w:lineRule="exact"/>
        <w:ind w:firstLine="640"/>
        <w:rPr>
          <w:rFonts w:ascii="仿宋_GB2312" w:eastAsia="仿宋_GB2312"/>
          <w:sz w:val="32"/>
          <w:szCs w:val="32"/>
        </w:rPr>
      </w:pPr>
      <w:r>
        <w:rPr>
          <w:rFonts w:hint="eastAsia" w:ascii="仿宋_GB2312" w:eastAsia="仿宋_GB2312"/>
          <w:sz w:val="32"/>
          <w:szCs w:val="32"/>
        </w:rPr>
        <w:t>（6）监测结果与数据报告。按照有关监测技术规范进行数据处理。监测结果可用定性、半定量或定量方式报出。监测结果可采用电话、传真、快报、简报、监测报告等形式第一时间报告现场应急指挥部。</w:t>
      </w:r>
    </w:p>
    <w:p>
      <w:pPr>
        <w:spacing w:line="560" w:lineRule="exact"/>
        <w:ind w:firstLine="640"/>
        <w:rPr>
          <w:rFonts w:ascii="仿宋_GB2312" w:eastAsia="仿宋_GB2312"/>
          <w:sz w:val="32"/>
          <w:szCs w:val="32"/>
        </w:rPr>
      </w:pPr>
      <w:r>
        <w:rPr>
          <w:rFonts w:hint="eastAsia" w:ascii="仿宋_GB2312" w:eastAsia="仿宋_GB2312"/>
          <w:sz w:val="32"/>
          <w:szCs w:val="32"/>
        </w:rPr>
        <w:t>（7）监测数据的质量保证。应急监测过程中的样品采集、现场监测、实验室监测、数据统计等环节，都有质量控制措施，并对应急监测报告实行三级审核。</w:t>
      </w:r>
    </w:p>
    <w:p>
      <w:pPr>
        <w:pStyle w:val="6"/>
        <w:spacing w:line="560" w:lineRule="exact"/>
        <w:rPr>
          <w:rFonts w:ascii="仿宋_GB2312" w:eastAsia="仿宋_GB2312"/>
          <w:b w:val="0"/>
          <w:sz w:val="32"/>
          <w:szCs w:val="32"/>
        </w:rPr>
      </w:pPr>
      <w:bookmarkStart w:id="81" w:name="_Toc44927234"/>
      <w:r>
        <w:rPr>
          <w:rFonts w:hint="eastAsia" w:ascii="仿宋_GB2312" w:eastAsia="仿宋_GB2312"/>
          <w:b w:val="0"/>
          <w:sz w:val="32"/>
          <w:szCs w:val="32"/>
        </w:rPr>
        <w:t>3.3.2信息通报程序</w:t>
      </w:r>
      <w:bookmarkEnd w:id="81"/>
    </w:p>
    <w:p>
      <w:pPr>
        <w:spacing w:line="560" w:lineRule="exact"/>
        <w:ind w:firstLine="640"/>
        <w:rPr>
          <w:rFonts w:ascii="仿宋_GB2312" w:eastAsia="仿宋_GB2312"/>
          <w:sz w:val="32"/>
          <w:szCs w:val="32"/>
        </w:rPr>
      </w:pPr>
      <w:r>
        <w:rPr>
          <w:rFonts w:hint="eastAsia" w:ascii="仿宋_GB2312" w:eastAsia="仿宋_GB2312"/>
          <w:sz w:val="32"/>
          <w:szCs w:val="32"/>
        </w:rPr>
        <w:t>太仓市人民政府应急组织指挥机构获得信息后，1小时内与有关部门通报。通报的部门至少包括</w:t>
      </w:r>
      <w:r>
        <w:rPr>
          <w:rFonts w:ascii="仿宋_GB2312" w:eastAsia="仿宋_GB2312"/>
          <w:sz w:val="32"/>
          <w:szCs w:val="32"/>
        </w:rPr>
        <w:t>市交运局</w:t>
      </w:r>
      <w:r>
        <w:rPr>
          <w:rFonts w:hint="eastAsia" w:ascii="仿宋_GB2312" w:eastAsia="仿宋_GB2312"/>
          <w:sz w:val="32"/>
          <w:szCs w:val="32"/>
        </w:rPr>
        <w:t>、</w:t>
      </w:r>
      <w:r>
        <w:rPr>
          <w:rFonts w:ascii="仿宋_GB2312" w:eastAsia="仿宋_GB2312"/>
          <w:sz w:val="32"/>
          <w:szCs w:val="32"/>
        </w:rPr>
        <w:t>市水务局、市卫健委、</w:t>
      </w:r>
      <w:r>
        <w:rPr>
          <w:rFonts w:hint="eastAsia" w:ascii="仿宋_GB2312" w:eastAsia="仿宋_GB2312"/>
          <w:sz w:val="32"/>
          <w:szCs w:val="32"/>
        </w:rPr>
        <w:t>市生态环境局、市海事局、太仓港口管委会等部门。根据水源地突发环境事件的类型和情景，还通报市公安局（遇火灾爆炸、道路运输事故）、市农业农村局（遇大面积死鱼）、市应急局（遇安全生产事故）、消防大队（综合应急救援大队）（遇火灾爆炸）、市海事局（遇水上救援时、遇水上运输事故）等部门。</w:t>
      </w:r>
    </w:p>
    <w:p>
      <w:pPr>
        <w:spacing w:line="560" w:lineRule="exact"/>
        <w:ind w:firstLine="640"/>
        <w:rPr>
          <w:rFonts w:ascii="仿宋_GB2312" w:eastAsia="仿宋_GB2312"/>
          <w:sz w:val="32"/>
          <w:szCs w:val="32"/>
        </w:rPr>
      </w:pPr>
      <w:r>
        <w:rPr>
          <w:rFonts w:hint="eastAsia" w:ascii="仿宋_GB2312" w:eastAsia="仿宋_GB2312"/>
          <w:sz w:val="32"/>
          <w:szCs w:val="32"/>
        </w:rPr>
        <w:t>水源地突发环境事件已经或可能影响上海市的，太仓市人民政府及有关部门应及时通报苏州市、江苏省人民政府及有关部门。</w:t>
      </w:r>
    </w:p>
    <w:p>
      <w:pPr>
        <w:pStyle w:val="5"/>
        <w:spacing w:before="156" w:after="156" w:line="560" w:lineRule="exact"/>
        <w:rPr>
          <w:rFonts w:ascii="楷体" w:hAnsi="楷体" w:eastAsia="楷体"/>
          <w:b w:val="0"/>
          <w:sz w:val="32"/>
          <w:szCs w:val="32"/>
        </w:rPr>
      </w:pPr>
      <w:bookmarkStart w:id="82" w:name="_Toc44927235"/>
      <w:r>
        <w:rPr>
          <w:rFonts w:hint="eastAsia" w:ascii="楷体" w:hAnsi="楷体" w:eastAsia="楷体"/>
          <w:b w:val="0"/>
          <w:sz w:val="32"/>
          <w:szCs w:val="32"/>
        </w:rPr>
        <w:t>3.4污染源排查与处置</w:t>
      </w:r>
      <w:bookmarkEnd w:id="82"/>
    </w:p>
    <w:p>
      <w:pPr>
        <w:pStyle w:val="6"/>
        <w:spacing w:line="560" w:lineRule="exact"/>
        <w:rPr>
          <w:rFonts w:ascii="仿宋_GB2312" w:eastAsia="仿宋_GB2312"/>
          <w:b w:val="0"/>
          <w:sz w:val="32"/>
          <w:szCs w:val="32"/>
        </w:rPr>
      </w:pPr>
      <w:bookmarkStart w:id="83" w:name="_Toc44927236"/>
      <w:r>
        <w:rPr>
          <w:rFonts w:hint="eastAsia" w:ascii="仿宋_GB2312" w:eastAsia="仿宋_GB2312"/>
          <w:b w:val="0"/>
          <w:sz w:val="32"/>
          <w:szCs w:val="32"/>
        </w:rPr>
        <w:t>3.4.1明确排查对象</w:t>
      </w:r>
      <w:bookmarkEnd w:id="83"/>
    </w:p>
    <w:p>
      <w:pPr>
        <w:spacing w:line="560" w:lineRule="exact"/>
        <w:ind w:firstLine="640"/>
        <w:rPr>
          <w:rFonts w:ascii="仿宋_GB2312" w:eastAsia="仿宋_GB2312"/>
          <w:sz w:val="32"/>
          <w:szCs w:val="32"/>
        </w:rPr>
      </w:pPr>
      <w:r>
        <w:rPr>
          <w:rFonts w:hint="eastAsia" w:ascii="仿宋_GB2312" w:eastAsia="仿宋_GB2312"/>
          <w:sz w:val="32"/>
          <w:szCs w:val="32"/>
        </w:rPr>
        <w:t>当水质监测发现异常、污染物来源不确定时，由太仓生态环境局主导、市公安局配合，根据特征污染物种类、浓度变化、释放总量、路径和时间，以及当时的水文和气象条件，迅速组织开展污染源联合排查。</w:t>
      </w:r>
    </w:p>
    <w:p>
      <w:pPr>
        <w:spacing w:line="560" w:lineRule="exact"/>
        <w:ind w:firstLine="640"/>
        <w:rPr>
          <w:rFonts w:ascii="仿宋_GB2312" w:eastAsia="仿宋_GB2312"/>
          <w:sz w:val="32"/>
          <w:szCs w:val="32"/>
        </w:rPr>
      </w:pPr>
      <w:r>
        <w:rPr>
          <w:rFonts w:hint="eastAsia" w:ascii="仿宋_GB2312" w:eastAsia="仿宋_GB2312"/>
          <w:sz w:val="32"/>
          <w:szCs w:val="32"/>
        </w:rPr>
        <w:t>针对不同类型污染物的排查重点和对象如下。</w:t>
      </w:r>
    </w:p>
    <w:p>
      <w:pPr>
        <w:spacing w:line="560" w:lineRule="exact"/>
        <w:ind w:firstLine="640"/>
        <w:rPr>
          <w:rFonts w:ascii="仿宋_GB2312" w:eastAsia="仿宋_GB2312"/>
          <w:sz w:val="32"/>
          <w:szCs w:val="32"/>
        </w:rPr>
      </w:pPr>
      <w:r>
        <w:rPr>
          <w:rFonts w:hint="eastAsia" w:ascii="仿宋_GB2312" w:eastAsia="仿宋_GB2312"/>
          <w:sz w:val="32"/>
          <w:szCs w:val="32"/>
        </w:rPr>
        <w:t>（1）有机类污染：重点排查城镇生活污水处理厂、沿江工业企业，调查污水处理设施运行、尾水排放的异常情况。</w:t>
      </w:r>
    </w:p>
    <w:p>
      <w:pPr>
        <w:spacing w:line="560" w:lineRule="exact"/>
        <w:ind w:firstLine="640"/>
        <w:rPr>
          <w:rFonts w:ascii="仿宋_GB2312" w:eastAsia="仿宋_GB2312"/>
          <w:sz w:val="32"/>
          <w:szCs w:val="32"/>
        </w:rPr>
      </w:pPr>
      <w:r>
        <w:rPr>
          <w:rFonts w:hint="eastAsia" w:ascii="仿宋_GB2312" w:eastAsia="仿宋_GB2312"/>
          <w:sz w:val="32"/>
          <w:szCs w:val="32"/>
        </w:rPr>
        <w:t>（2）石油类污染：重点排查加油站、运输车辆、港口、码头、洗舱基地、运输船舶、油气管线，调查上述企业和单位的异常情况。</w:t>
      </w:r>
    </w:p>
    <w:p>
      <w:pPr>
        <w:spacing w:line="560" w:lineRule="exact"/>
        <w:ind w:firstLine="640"/>
        <w:rPr>
          <w:rFonts w:ascii="仿宋_GB2312" w:eastAsia="仿宋_GB2312"/>
          <w:sz w:val="32"/>
          <w:szCs w:val="32"/>
        </w:rPr>
      </w:pPr>
      <w:r>
        <w:rPr>
          <w:rFonts w:hint="eastAsia" w:ascii="仿宋_GB2312" w:eastAsia="仿宋_GB2312"/>
          <w:sz w:val="32"/>
          <w:szCs w:val="32"/>
        </w:rPr>
        <w:t>（3）重金属及其他有毒有害物质污染：重点排查加油站、运输车辆、港口、码头，调查上述企业和单位的异常情况。</w:t>
      </w:r>
    </w:p>
    <w:p>
      <w:pPr>
        <w:pStyle w:val="6"/>
        <w:spacing w:line="560" w:lineRule="exact"/>
        <w:rPr>
          <w:rFonts w:ascii="仿宋_GB2312" w:eastAsia="仿宋_GB2312"/>
          <w:b w:val="0"/>
          <w:sz w:val="32"/>
          <w:szCs w:val="32"/>
        </w:rPr>
      </w:pPr>
      <w:bookmarkStart w:id="84" w:name="_Toc44927237"/>
      <w:r>
        <w:rPr>
          <w:rFonts w:hint="eastAsia" w:ascii="仿宋_GB2312" w:eastAsia="仿宋_GB2312"/>
          <w:b w:val="0"/>
          <w:sz w:val="32"/>
          <w:szCs w:val="32"/>
        </w:rPr>
        <w:t>3.4.2切断污染源</w:t>
      </w:r>
      <w:bookmarkEnd w:id="84"/>
    </w:p>
    <w:p>
      <w:pPr>
        <w:spacing w:line="560" w:lineRule="exact"/>
        <w:ind w:firstLine="640"/>
        <w:rPr>
          <w:rFonts w:ascii="仿宋_GB2312" w:eastAsia="仿宋_GB2312"/>
          <w:sz w:val="32"/>
          <w:szCs w:val="32"/>
        </w:rPr>
      </w:pPr>
      <w:r>
        <w:rPr>
          <w:rFonts w:hint="eastAsia" w:ascii="仿宋_GB2312" w:eastAsia="仿宋_GB2312"/>
          <w:sz w:val="32"/>
          <w:szCs w:val="32"/>
        </w:rPr>
        <w:t>切断污染源处置措施由应急处置组负责组织实施，主要采取切断污染源、收集和围堵污染物等，包括但不限于以下内容。</w:t>
      </w:r>
    </w:p>
    <w:p>
      <w:pPr>
        <w:spacing w:line="560" w:lineRule="exact"/>
        <w:ind w:firstLine="640"/>
        <w:rPr>
          <w:rFonts w:ascii="仿宋_GB2312" w:eastAsia="仿宋_GB2312"/>
          <w:sz w:val="32"/>
          <w:szCs w:val="32"/>
        </w:rPr>
      </w:pPr>
      <w:r>
        <w:rPr>
          <w:rFonts w:hint="eastAsia" w:ascii="仿宋_GB2312" w:eastAsia="仿宋_GB2312"/>
          <w:sz w:val="32"/>
          <w:szCs w:val="32"/>
        </w:rPr>
        <w:t>（1）</w:t>
      </w:r>
      <w:r>
        <w:rPr>
          <w:rFonts w:eastAsia="仿宋_GB2312"/>
          <w:sz w:val="32"/>
          <w:szCs w:val="32"/>
        </w:rPr>
        <w:t>对发生非正常排放或有毒有害物质泄漏的固定源突发环境事件，应尽快采取关闭、封堵、收集、转移等措施，切断污染源或泄漏源。</w:t>
      </w:r>
    </w:p>
    <w:p>
      <w:pPr>
        <w:spacing w:line="560" w:lineRule="exact"/>
        <w:ind w:firstLine="640"/>
        <w:rPr>
          <w:rFonts w:ascii="仿宋_GB2312" w:eastAsia="仿宋_GB2312"/>
          <w:sz w:val="32"/>
          <w:szCs w:val="32"/>
        </w:rPr>
      </w:pPr>
      <w:r>
        <w:rPr>
          <w:rFonts w:hint="eastAsia" w:ascii="仿宋_GB2312" w:eastAsia="仿宋_GB2312"/>
          <w:sz w:val="32"/>
          <w:szCs w:val="32"/>
        </w:rPr>
        <w:t>（2）</w:t>
      </w:r>
      <w:r>
        <w:rPr>
          <w:rFonts w:eastAsia="仿宋_GB2312"/>
          <w:sz w:val="32"/>
          <w:szCs w:val="32"/>
        </w:rPr>
        <w:t>对道路交通运输过程中发生的流动源突发事件，可启动路面系统的导流槽、应急池或紧急设置围堰、闸坝等，对污染源进行围堵并收集污染物。</w:t>
      </w:r>
    </w:p>
    <w:p>
      <w:pPr>
        <w:spacing w:line="560" w:lineRule="exact"/>
        <w:ind w:firstLine="640"/>
        <w:rPr>
          <w:rFonts w:ascii="仿宋_GB2312" w:eastAsia="仿宋_GB2312"/>
          <w:sz w:val="32"/>
          <w:szCs w:val="32"/>
        </w:rPr>
      </w:pPr>
      <w:r>
        <w:rPr>
          <w:rFonts w:hint="eastAsia" w:ascii="仿宋_GB2312" w:eastAsia="仿宋_GB2312"/>
          <w:sz w:val="32"/>
          <w:szCs w:val="32"/>
        </w:rPr>
        <w:t>（3）对水上船舶运输过程中发生的流动源突发事件，主要采取救援打捞、油毡吸附、围油栏、闸坝拦截等方式，对污染源进行围堵并收集污染物。</w:t>
      </w:r>
    </w:p>
    <w:p>
      <w:pPr>
        <w:spacing w:line="560" w:lineRule="exact"/>
        <w:ind w:firstLine="640"/>
        <w:rPr>
          <w:rFonts w:ascii="仿宋_GB2312" w:eastAsia="仿宋_GB2312"/>
          <w:sz w:val="32"/>
          <w:szCs w:val="32"/>
        </w:rPr>
      </w:pPr>
      <w:r>
        <w:rPr>
          <w:rFonts w:hint="eastAsia" w:ascii="仿宋_GB2312" w:eastAsia="仿宋_GB2312"/>
          <w:sz w:val="32"/>
          <w:szCs w:val="32"/>
        </w:rPr>
        <w:t>（4）启动应急收集系统集中收集陆域污染物，设立拦截设施，防止污染物在陆域漫延，并对污染物进行回收处置。</w:t>
      </w:r>
    </w:p>
    <w:p>
      <w:pPr>
        <w:spacing w:line="560" w:lineRule="exact"/>
        <w:ind w:firstLine="640"/>
        <w:rPr>
          <w:rFonts w:ascii="仿宋_GB2312" w:eastAsia="仿宋_GB2312"/>
          <w:sz w:val="32"/>
          <w:szCs w:val="32"/>
        </w:rPr>
      </w:pPr>
      <w:r>
        <w:rPr>
          <w:rFonts w:hint="eastAsia" w:ascii="仿宋_GB2312" w:eastAsia="仿宋_GB2312"/>
          <w:sz w:val="32"/>
          <w:szCs w:val="32"/>
        </w:rPr>
        <w:t>（5）根据现场事态发展对扩散至水体的污染物进行处置。</w:t>
      </w:r>
    </w:p>
    <w:p>
      <w:pPr>
        <w:pStyle w:val="5"/>
        <w:spacing w:before="156" w:after="156" w:line="560" w:lineRule="exact"/>
        <w:rPr>
          <w:rFonts w:ascii="楷体" w:hAnsi="楷体" w:eastAsia="楷体"/>
          <w:b w:val="0"/>
          <w:sz w:val="32"/>
          <w:szCs w:val="32"/>
        </w:rPr>
      </w:pPr>
      <w:bookmarkStart w:id="85" w:name="_Toc44927238"/>
      <w:r>
        <w:rPr>
          <w:rFonts w:hint="eastAsia" w:ascii="楷体" w:hAnsi="楷体" w:eastAsia="楷体"/>
          <w:b w:val="0"/>
          <w:sz w:val="32"/>
          <w:szCs w:val="32"/>
        </w:rPr>
        <w:t>3.5应急处置</w:t>
      </w:r>
      <w:bookmarkEnd w:id="85"/>
    </w:p>
    <w:p>
      <w:pPr>
        <w:pStyle w:val="6"/>
        <w:spacing w:line="560" w:lineRule="exact"/>
        <w:rPr>
          <w:rFonts w:ascii="仿宋_GB2312" w:eastAsia="仿宋_GB2312"/>
          <w:b w:val="0"/>
          <w:sz w:val="32"/>
          <w:szCs w:val="32"/>
        </w:rPr>
      </w:pPr>
      <w:bookmarkStart w:id="86" w:name="_Toc44927239"/>
      <w:r>
        <w:rPr>
          <w:rFonts w:hint="eastAsia" w:ascii="仿宋_GB2312" w:eastAsia="仿宋_GB2312"/>
          <w:b w:val="0"/>
          <w:sz w:val="32"/>
          <w:szCs w:val="32"/>
        </w:rPr>
        <w:t>3.5.1制定现场处置方案</w:t>
      </w:r>
      <w:bookmarkEnd w:id="86"/>
    </w:p>
    <w:p>
      <w:pPr>
        <w:spacing w:line="560" w:lineRule="exact"/>
        <w:ind w:firstLine="640"/>
        <w:rPr>
          <w:rFonts w:ascii="仿宋_GB2312" w:eastAsia="仿宋_GB2312"/>
          <w:sz w:val="32"/>
          <w:szCs w:val="32"/>
        </w:rPr>
      </w:pPr>
      <w:r>
        <w:rPr>
          <w:rFonts w:hint="eastAsia" w:ascii="仿宋_GB2312" w:eastAsia="仿宋_GB2312"/>
          <w:sz w:val="32"/>
          <w:szCs w:val="32"/>
        </w:rPr>
        <w:t>根据污染特征，水源地突发环境事件的污染处置措施如下。</w:t>
      </w:r>
    </w:p>
    <w:p>
      <w:pPr>
        <w:spacing w:line="560" w:lineRule="exact"/>
        <w:ind w:firstLine="640"/>
        <w:rPr>
          <w:rFonts w:ascii="仿宋_GB2312" w:eastAsia="仿宋_GB2312"/>
          <w:sz w:val="32"/>
          <w:szCs w:val="32"/>
        </w:rPr>
      </w:pPr>
      <w:r>
        <w:rPr>
          <w:rFonts w:hint="eastAsia" w:ascii="仿宋_GB2312" w:eastAsia="仿宋_GB2312"/>
          <w:sz w:val="32"/>
          <w:szCs w:val="32"/>
        </w:rPr>
        <w:t>（1）水体内污染物治理、总量或浓度削减。根据应急专家组等意见，制定综合处置方案，经现场应急指挥部确认后实施。一般采取隔离、吸附、打捞、扰动等物理方法，氧化、沉淀等化学方法，利用湿地生物群消解等生物方法和上游调水等稀释方法，可以采取一种或多种方式，力争短时间内削减污染物浓度。现场应急指挥部可根据需要，对水源地汇水区域内的污染物排放企业、单位实施停产、减产、限产等措施，削减水域污染物总量或浓度。</w:t>
      </w:r>
    </w:p>
    <w:p>
      <w:pPr>
        <w:spacing w:line="560" w:lineRule="exact"/>
        <w:ind w:firstLine="640"/>
        <w:rPr>
          <w:rFonts w:ascii="仿宋_GB2312" w:eastAsia="仿宋_GB2312"/>
          <w:sz w:val="32"/>
          <w:szCs w:val="32"/>
        </w:rPr>
      </w:pPr>
      <w:r>
        <w:rPr>
          <w:rFonts w:hint="eastAsia" w:ascii="仿宋_GB2312" w:hAnsi="仿宋" w:eastAsia="仿宋_GB2312" w:cs="仿宋"/>
          <w:sz w:val="32"/>
          <w:szCs w:val="32"/>
        </w:rPr>
        <w:t>（2）</w:t>
      </w:r>
      <w:r>
        <w:rPr>
          <w:rFonts w:hint="eastAsia" w:ascii="仿宋_GB2312" w:eastAsia="仿宋_GB2312"/>
          <w:sz w:val="32"/>
          <w:szCs w:val="32"/>
        </w:rPr>
        <w:t>应急工程设施拦截污染水体。可启用浏河节制闸拦截浏河河道内的污染物等。</w:t>
      </w:r>
    </w:p>
    <w:p>
      <w:pPr>
        <w:spacing w:line="560" w:lineRule="exact"/>
        <w:ind w:firstLine="640"/>
        <w:rPr>
          <w:rFonts w:ascii="仿宋_GB2312" w:eastAsia="仿宋_GB2312"/>
          <w:sz w:val="32"/>
          <w:szCs w:val="32"/>
        </w:rPr>
      </w:pPr>
      <w:r>
        <w:rPr>
          <w:rFonts w:hint="eastAsia" w:ascii="仿宋_GB2312" w:eastAsia="仿宋_GB2312"/>
          <w:sz w:val="32"/>
          <w:szCs w:val="32"/>
        </w:rPr>
        <w:t>针对污染物可采取的物理、化学、生物处理技术如表3.5-1所示。</w:t>
      </w:r>
    </w:p>
    <w:p>
      <w:pPr>
        <w:spacing w:before="156" w:beforeLines="50" w:line="560" w:lineRule="exact"/>
        <w:ind w:firstLine="560"/>
        <w:jc w:val="center"/>
      </w:pPr>
      <w:r>
        <w:t>表3.</w:t>
      </w:r>
      <w:r>
        <w:rPr>
          <w:rFonts w:hint="eastAsia"/>
        </w:rPr>
        <w:t>5</w:t>
      </w:r>
      <w:r>
        <w:t>-1</w:t>
      </w:r>
      <w:r>
        <w:tab/>
      </w:r>
      <w:r>
        <w:t>适用于处理不同超标项目的推荐技术</w:t>
      </w:r>
    </w:p>
    <w:tbl>
      <w:tblPr>
        <w:tblStyle w:val="25"/>
        <w:tblW w:w="852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60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超标项目</w:t>
            </w:r>
          </w:p>
        </w:tc>
        <w:tc>
          <w:tcPr>
            <w:tcW w:w="609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推荐技术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浊度</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快速砂滤池、絮凝、沉淀、过滤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色度</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快速砂滤池、絮凝；活性炭吸附</w:t>
            </w:r>
          </w:p>
          <w:p>
            <w:pPr>
              <w:spacing w:line="240" w:lineRule="atLeast"/>
              <w:ind w:firstLine="0" w:firstLineChars="0"/>
              <w:rPr>
                <w:rFonts w:ascii="仿宋" w:hAnsi="仿宋" w:cs="仿宋"/>
                <w:bCs/>
                <w:sz w:val="24"/>
                <w:szCs w:val="24"/>
              </w:rPr>
            </w:pPr>
            <w:r>
              <w:rPr>
                <w:rFonts w:hint="eastAsia" w:ascii="仿宋" w:hAnsi="仿宋" w:cs="仿宋"/>
                <w:bCs/>
                <w:sz w:val="24"/>
                <w:szCs w:val="24"/>
              </w:rPr>
              <w:t>化学氧化预处理：臭氧、氯、高锰酸钾、二氧化氯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嗅味</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化学氧化预处理：臭氧、氯、高锰酸钾、二氧化氯</w:t>
            </w:r>
          </w:p>
          <w:p>
            <w:pPr>
              <w:spacing w:line="240" w:lineRule="atLeast"/>
              <w:ind w:firstLine="0" w:firstLineChars="0"/>
              <w:rPr>
                <w:rFonts w:ascii="仿宋" w:hAnsi="仿宋" w:cs="仿宋"/>
                <w:bCs/>
                <w:sz w:val="24"/>
                <w:szCs w:val="24"/>
              </w:rPr>
            </w:pPr>
            <w:r>
              <w:rPr>
                <w:rFonts w:hint="eastAsia" w:ascii="仿宋" w:hAnsi="仿宋" w:cs="仿宋"/>
                <w:bCs/>
                <w:sz w:val="24"/>
                <w:szCs w:val="24"/>
              </w:rPr>
              <w:t>活性炭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氟化物</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吸附法：氧化铝、磷酸二钙</w:t>
            </w:r>
          </w:p>
          <w:p>
            <w:pPr>
              <w:spacing w:line="240" w:lineRule="atLeast"/>
              <w:ind w:firstLine="0" w:firstLineChars="0"/>
              <w:rPr>
                <w:rFonts w:ascii="仿宋" w:hAnsi="仿宋" w:cs="仿宋"/>
                <w:bCs/>
                <w:sz w:val="24"/>
                <w:szCs w:val="24"/>
              </w:rPr>
            </w:pPr>
            <w:r>
              <w:rPr>
                <w:rFonts w:hint="eastAsia" w:ascii="仿宋" w:hAnsi="仿宋" w:cs="仿宋"/>
                <w:bCs/>
                <w:sz w:val="24"/>
                <w:szCs w:val="24"/>
              </w:rPr>
              <w:t>混凝沉淀法：硫酸铝、聚合氯化铝</w:t>
            </w:r>
          </w:p>
          <w:p>
            <w:pPr>
              <w:spacing w:line="240" w:lineRule="atLeast"/>
              <w:ind w:firstLine="0" w:firstLineChars="0"/>
              <w:rPr>
                <w:rFonts w:ascii="仿宋" w:hAnsi="仿宋" w:cs="仿宋"/>
                <w:bCs/>
                <w:sz w:val="24"/>
                <w:szCs w:val="24"/>
              </w:rPr>
            </w:pPr>
            <w:r>
              <w:rPr>
                <w:rFonts w:hint="eastAsia" w:ascii="仿宋" w:hAnsi="仿宋" w:cs="仿宋"/>
                <w:bCs/>
                <w:sz w:val="24"/>
                <w:szCs w:val="24"/>
              </w:rPr>
              <w:t>离子交换法；电渗析法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氨氮</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化学氧化预处理：氯、高锰酸钾</w:t>
            </w:r>
          </w:p>
          <w:p>
            <w:pPr>
              <w:spacing w:line="240" w:lineRule="atLeast"/>
              <w:ind w:firstLine="0" w:firstLineChars="0"/>
              <w:rPr>
                <w:rFonts w:ascii="仿宋" w:hAnsi="仿宋" w:cs="仿宋"/>
                <w:bCs/>
                <w:sz w:val="24"/>
                <w:szCs w:val="24"/>
              </w:rPr>
            </w:pPr>
            <w:r>
              <w:rPr>
                <w:rFonts w:hint="eastAsia" w:ascii="仿宋" w:hAnsi="仿宋" w:cs="仿宋"/>
                <w:bCs/>
                <w:sz w:val="24"/>
                <w:szCs w:val="24"/>
              </w:rPr>
              <w:t>深度处理：臭氧-生物活性碳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铁、锰</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锰砂；化学氧化预处理：氯、高锰酸钾</w:t>
            </w:r>
          </w:p>
          <w:p>
            <w:pPr>
              <w:spacing w:line="240" w:lineRule="atLeast"/>
              <w:ind w:firstLine="0" w:firstLineChars="0"/>
              <w:rPr>
                <w:rFonts w:ascii="仿宋" w:hAnsi="仿宋" w:cs="仿宋"/>
                <w:bCs/>
                <w:sz w:val="24"/>
                <w:szCs w:val="24"/>
              </w:rPr>
            </w:pPr>
            <w:r>
              <w:rPr>
                <w:rFonts w:hint="eastAsia" w:ascii="仿宋" w:hAnsi="仿宋" w:cs="仿宋"/>
                <w:bCs/>
                <w:sz w:val="24"/>
                <w:szCs w:val="24"/>
              </w:rPr>
              <w:t>深度处理：臭氧-生物活性碳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挥发性有机物</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生物活性炭吸附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超标项目</w:t>
            </w:r>
          </w:p>
        </w:tc>
        <w:tc>
          <w:tcPr>
            <w:tcW w:w="609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推荐技术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三氯甲烷和腐殖酸</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前驱物的去除：强化混凝、粒状活性炭、生物活性炭</w:t>
            </w:r>
          </w:p>
          <w:p>
            <w:pPr>
              <w:spacing w:line="240" w:lineRule="atLeast"/>
              <w:ind w:firstLine="0" w:firstLineChars="0"/>
              <w:rPr>
                <w:rFonts w:ascii="仿宋" w:hAnsi="仿宋" w:cs="仿宋"/>
                <w:bCs/>
                <w:sz w:val="24"/>
                <w:szCs w:val="24"/>
              </w:rPr>
            </w:pPr>
            <w:r>
              <w:rPr>
                <w:rFonts w:hint="eastAsia" w:ascii="仿宋" w:hAnsi="仿宋" w:cs="仿宋"/>
                <w:bCs/>
                <w:sz w:val="24"/>
                <w:szCs w:val="24"/>
              </w:rPr>
              <w:t>氯化副产物的去除：粒状活性炭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有机化合物</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生物活性碳、膜处理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细菌和病毒</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过滤（部分去除）</w:t>
            </w:r>
          </w:p>
          <w:p>
            <w:pPr>
              <w:spacing w:line="240" w:lineRule="atLeast"/>
              <w:ind w:firstLine="0" w:firstLineChars="0"/>
              <w:rPr>
                <w:rFonts w:ascii="仿宋" w:hAnsi="仿宋" w:cs="仿宋"/>
                <w:bCs/>
                <w:sz w:val="24"/>
                <w:szCs w:val="24"/>
              </w:rPr>
            </w:pPr>
            <w:r>
              <w:rPr>
                <w:rFonts w:hint="eastAsia" w:ascii="仿宋" w:hAnsi="仿宋" w:cs="仿宋"/>
                <w:bCs/>
                <w:sz w:val="24"/>
                <w:szCs w:val="24"/>
              </w:rPr>
              <w:t>消毒处理：氯、二氧化氯、臭氧、膜处理、紫外消毒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29" w:type="dxa"/>
            <w:vAlign w:val="center"/>
          </w:tcPr>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汞、铬等部分重金属</w:t>
            </w:r>
          </w:p>
          <w:p>
            <w:pPr>
              <w:spacing w:line="240" w:lineRule="atLeast"/>
              <w:ind w:firstLine="0" w:firstLineChars="0"/>
              <w:jc w:val="center"/>
              <w:rPr>
                <w:rFonts w:ascii="仿宋" w:hAnsi="仿宋" w:cs="仿宋"/>
                <w:bCs/>
                <w:sz w:val="24"/>
                <w:szCs w:val="24"/>
              </w:rPr>
            </w:pPr>
            <w:r>
              <w:rPr>
                <w:rFonts w:hint="eastAsia" w:ascii="仿宋" w:hAnsi="仿宋" w:cs="仿宋"/>
                <w:bCs/>
                <w:sz w:val="24"/>
                <w:szCs w:val="24"/>
              </w:rPr>
              <w:t>（应急状态）</w:t>
            </w:r>
          </w:p>
        </w:tc>
        <w:tc>
          <w:tcPr>
            <w:tcW w:w="6099" w:type="dxa"/>
            <w:vAlign w:val="center"/>
          </w:tcPr>
          <w:p>
            <w:pPr>
              <w:spacing w:line="240" w:lineRule="atLeast"/>
              <w:ind w:firstLine="0" w:firstLineChars="0"/>
              <w:rPr>
                <w:rFonts w:ascii="仿宋" w:hAnsi="仿宋" w:cs="仿宋"/>
                <w:bCs/>
                <w:sz w:val="24"/>
                <w:szCs w:val="24"/>
              </w:rPr>
            </w:pPr>
            <w:r>
              <w:rPr>
                <w:rFonts w:hint="eastAsia" w:ascii="仿宋" w:hAnsi="仿宋" w:cs="仿宋"/>
                <w:bCs/>
                <w:sz w:val="24"/>
                <w:szCs w:val="24"/>
              </w:rPr>
              <w:t>氧化法：高锰酸钾</w:t>
            </w:r>
          </w:p>
          <w:p>
            <w:pPr>
              <w:spacing w:line="240" w:lineRule="atLeast"/>
              <w:ind w:firstLine="0" w:firstLineChars="0"/>
              <w:rPr>
                <w:rFonts w:ascii="仿宋" w:hAnsi="仿宋" w:cs="仿宋"/>
                <w:bCs/>
                <w:sz w:val="24"/>
                <w:szCs w:val="24"/>
              </w:rPr>
            </w:pPr>
            <w:r>
              <w:rPr>
                <w:rFonts w:hint="eastAsia" w:ascii="仿宋" w:hAnsi="仿宋" w:cs="仿宋"/>
                <w:bCs/>
                <w:sz w:val="24"/>
                <w:szCs w:val="24"/>
              </w:rPr>
              <w:t>生物活性碳吸附（部分去除）</w:t>
            </w:r>
          </w:p>
        </w:tc>
      </w:tr>
    </w:tbl>
    <w:p>
      <w:pPr>
        <w:spacing w:line="560" w:lineRule="exact"/>
        <w:ind w:firstLine="640"/>
        <w:rPr>
          <w:rFonts w:ascii="仿宋_GB2312" w:eastAsia="仿宋_GB2312"/>
          <w:sz w:val="32"/>
          <w:szCs w:val="32"/>
        </w:rPr>
      </w:pPr>
      <w:r>
        <w:rPr>
          <w:rFonts w:hint="eastAsia" w:ascii="仿宋_GB2312" w:eastAsia="仿宋_GB2312"/>
          <w:sz w:val="32"/>
          <w:szCs w:val="32"/>
        </w:rPr>
        <w:t>针对不同事件情景下的现场处置方案如下：</w:t>
      </w:r>
    </w:p>
    <w:p>
      <w:pPr>
        <w:pStyle w:val="7"/>
        <w:spacing w:line="560" w:lineRule="exact"/>
        <w:rPr>
          <w:rFonts w:ascii="仿宋_GB2312" w:eastAsia="仿宋_GB2312"/>
          <w:sz w:val="32"/>
          <w:szCs w:val="32"/>
        </w:rPr>
      </w:pPr>
      <w:r>
        <w:rPr>
          <w:rFonts w:hint="eastAsia" w:ascii="仿宋_GB2312" w:eastAsia="仿宋_GB2312"/>
          <w:sz w:val="32"/>
          <w:szCs w:val="32"/>
        </w:rPr>
        <w:t>3.5.1.1上游水体或周边企业违法排污</w:t>
      </w:r>
    </w:p>
    <w:p>
      <w:pPr>
        <w:spacing w:line="560" w:lineRule="exact"/>
        <w:ind w:firstLine="640"/>
        <w:rPr>
          <w:rFonts w:ascii="仿宋_GB2312" w:eastAsia="仿宋_GB2312"/>
          <w:sz w:val="32"/>
          <w:szCs w:val="32"/>
        </w:rPr>
      </w:pPr>
      <w:r>
        <w:rPr>
          <w:rFonts w:hint="eastAsia" w:ascii="仿宋_GB2312" w:eastAsia="仿宋_GB2312"/>
          <w:sz w:val="32"/>
          <w:szCs w:val="32"/>
        </w:rPr>
        <w:t>（1）事件情景</w:t>
      </w:r>
    </w:p>
    <w:p>
      <w:pPr>
        <w:spacing w:line="560" w:lineRule="exact"/>
        <w:ind w:firstLine="640"/>
        <w:rPr>
          <w:rFonts w:ascii="仿宋_GB2312" w:eastAsia="仿宋_GB2312"/>
          <w:sz w:val="32"/>
          <w:szCs w:val="32"/>
        </w:rPr>
      </w:pPr>
      <w:r>
        <w:rPr>
          <w:rFonts w:hint="eastAsia" w:ascii="仿宋_GB2312" w:eastAsia="仿宋_GB2312"/>
          <w:sz w:val="32"/>
          <w:szCs w:val="32"/>
        </w:rPr>
        <w:t>调查范围内有较多的化工码头和化工企业，这些企业如有泄漏事件，则很可能污染上游水体，进而影响浏河水源地。</w:t>
      </w:r>
    </w:p>
    <w:p>
      <w:pPr>
        <w:spacing w:line="560" w:lineRule="exact"/>
        <w:ind w:firstLine="640"/>
        <w:rPr>
          <w:rFonts w:ascii="仿宋_GB2312" w:eastAsia="仿宋_GB2312"/>
          <w:sz w:val="32"/>
          <w:szCs w:val="32"/>
        </w:rPr>
      </w:pPr>
      <w:r>
        <w:rPr>
          <w:rFonts w:hint="eastAsia" w:ascii="仿宋_GB2312" w:eastAsia="仿宋_GB2312"/>
          <w:sz w:val="32"/>
          <w:szCs w:val="32"/>
        </w:rPr>
        <w:t>（2）应急监测</w:t>
      </w:r>
    </w:p>
    <w:p>
      <w:pPr>
        <w:spacing w:line="560" w:lineRule="exact"/>
        <w:ind w:firstLine="640"/>
        <w:rPr>
          <w:rFonts w:ascii="仿宋_GB2312" w:eastAsia="仿宋_GB2312"/>
          <w:sz w:val="32"/>
          <w:szCs w:val="32"/>
        </w:rPr>
      </w:pPr>
      <w:r>
        <w:rPr>
          <w:rFonts w:hint="eastAsia" w:ascii="仿宋_GB2312" w:eastAsia="仿宋_GB2312"/>
          <w:sz w:val="32"/>
          <w:szCs w:val="32"/>
        </w:rPr>
        <w:t>如接到举报信息，则根据现场污染范围合理布设监测点位，根据污染水体物理性状，如颜色、臭味、透明度等情况初步判定应急监测指标，并根据监测结果适时调整监测指标。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如果是根据各监测断面数据报警，则根据断面所处位置、水体流速等条件判断可能的污染范围，并合理布设监测点位，根据断面监测数据初步判定应急监测指标，并根据监测结果适时调整监测指标。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监测频次一般不低于每小时一次。</w:t>
      </w:r>
    </w:p>
    <w:p>
      <w:pPr>
        <w:spacing w:line="560" w:lineRule="exact"/>
        <w:ind w:firstLine="640"/>
        <w:rPr>
          <w:rFonts w:ascii="仿宋_GB2312" w:eastAsia="仿宋_GB2312"/>
          <w:sz w:val="32"/>
          <w:szCs w:val="32"/>
        </w:rPr>
      </w:pPr>
      <w:r>
        <w:rPr>
          <w:rFonts w:hint="eastAsia" w:ascii="仿宋_GB2312" w:eastAsia="仿宋_GB2312"/>
          <w:sz w:val="32"/>
          <w:szCs w:val="32"/>
        </w:rPr>
        <w:t>（3）污染源排查与处置</w:t>
      </w:r>
    </w:p>
    <w:p>
      <w:pPr>
        <w:spacing w:line="560" w:lineRule="exact"/>
        <w:ind w:firstLine="640"/>
        <w:rPr>
          <w:rFonts w:ascii="仿宋_GB2312" w:eastAsia="仿宋_GB2312"/>
          <w:sz w:val="32"/>
          <w:szCs w:val="32"/>
        </w:rPr>
      </w:pPr>
      <w:r>
        <w:rPr>
          <w:rFonts w:hint="eastAsia" w:ascii="仿宋_GB2312" w:eastAsia="仿宋_GB2312"/>
          <w:sz w:val="32"/>
          <w:szCs w:val="32"/>
        </w:rPr>
        <w:t>根据现场水流速度，结合上游断面监测数据和各平台信息，由专家研判污染源大体范围，市公安局和市生态环境局逐一排查可能的污染源。一经发现，立刻勒令停止违法排污。</w:t>
      </w:r>
    </w:p>
    <w:p>
      <w:pPr>
        <w:spacing w:line="560" w:lineRule="exact"/>
        <w:ind w:firstLine="640"/>
        <w:rPr>
          <w:rFonts w:ascii="仿宋_GB2312" w:eastAsia="仿宋_GB2312"/>
          <w:sz w:val="32"/>
          <w:szCs w:val="32"/>
        </w:rPr>
      </w:pPr>
      <w:r>
        <w:rPr>
          <w:rFonts w:hint="eastAsia" w:ascii="仿宋_GB2312" w:eastAsia="仿宋_GB2312"/>
          <w:sz w:val="32"/>
          <w:szCs w:val="32"/>
        </w:rPr>
        <w:t>情况合理时，可关闭浏河节制闸。</w:t>
      </w:r>
    </w:p>
    <w:p>
      <w:pPr>
        <w:spacing w:line="560" w:lineRule="exact"/>
        <w:ind w:firstLine="640"/>
        <w:rPr>
          <w:rFonts w:ascii="仿宋_GB2312" w:eastAsia="仿宋_GB2312"/>
          <w:sz w:val="32"/>
          <w:szCs w:val="32"/>
        </w:rPr>
      </w:pPr>
      <w:r>
        <w:rPr>
          <w:rFonts w:hint="eastAsia" w:ascii="仿宋_GB2312" w:eastAsia="仿宋_GB2312"/>
          <w:sz w:val="32"/>
          <w:szCs w:val="32"/>
        </w:rPr>
        <w:t>（4）污染物处置</w:t>
      </w:r>
    </w:p>
    <w:p>
      <w:pPr>
        <w:spacing w:line="560" w:lineRule="exact"/>
        <w:ind w:firstLine="640"/>
        <w:rPr>
          <w:rFonts w:ascii="仿宋_GB2312" w:eastAsia="仿宋_GB2312"/>
          <w:sz w:val="32"/>
          <w:szCs w:val="32"/>
        </w:rPr>
      </w:pPr>
      <w:r>
        <w:rPr>
          <w:rFonts w:hint="eastAsia" w:ascii="仿宋_GB2312" w:eastAsia="仿宋_GB2312"/>
          <w:sz w:val="32"/>
          <w:szCs w:val="32"/>
        </w:rPr>
        <w:t>根据现场监测数据和污染源的信息，提出针对性的处理方法。</w:t>
      </w:r>
    </w:p>
    <w:p>
      <w:pPr>
        <w:spacing w:line="560" w:lineRule="exact"/>
        <w:ind w:firstLine="640"/>
        <w:rPr>
          <w:rFonts w:ascii="仿宋_GB2312" w:eastAsia="仿宋_GB2312"/>
          <w:sz w:val="32"/>
          <w:szCs w:val="32"/>
        </w:rPr>
      </w:pPr>
      <w:r>
        <w:rPr>
          <w:rFonts w:hint="eastAsia" w:ascii="仿宋_GB2312" w:eastAsia="仿宋_GB2312"/>
          <w:sz w:val="32"/>
          <w:szCs w:val="32"/>
        </w:rPr>
        <w:t>（5）应急物资调集</w:t>
      </w:r>
    </w:p>
    <w:p>
      <w:pPr>
        <w:spacing w:line="560" w:lineRule="exact"/>
        <w:ind w:firstLine="640"/>
        <w:rPr>
          <w:rFonts w:ascii="仿宋_GB2312" w:eastAsia="仿宋_GB2312"/>
          <w:sz w:val="32"/>
          <w:szCs w:val="32"/>
        </w:rPr>
      </w:pPr>
      <w:r>
        <w:rPr>
          <w:rFonts w:hint="eastAsia" w:ascii="仿宋_GB2312" w:eastAsia="仿宋_GB2312"/>
          <w:sz w:val="32"/>
          <w:szCs w:val="32"/>
        </w:rPr>
        <w:t>根据现场污染情况确定应急物资。企业泄漏污染多以化学性污染和油类污染为主，一般使用高锰酸钾、活性炭、液氯等药剂，太仓市第三水厂有储存和配套的加药装置。</w:t>
      </w:r>
    </w:p>
    <w:p>
      <w:pPr>
        <w:spacing w:line="560" w:lineRule="exact"/>
        <w:ind w:firstLine="640"/>
        <w:rPr>
          <w:rFonts w:ascii="仿宋_GB2312" w:eastAsia="仿宋_GB2312"/>
          <w:sz w:val="32"/>
          <w:szCs w:val="32"/>
        </w:rPr>
      </w:pPr>
      <w:r>
        <w:rPr>
          <w:rFonts w:hint="eastAsia" w:ascii="仿宋_GB2312" w:eastAsia="仿宋_GB2312"/>
          <w:sz w:val="32"/>
          <w:szCs w:val="32"/>
        </w:rPr>
        <w:t>（6）应急队伍和人员安排</w:t>
      </w:r>
    </w:p>
    <w:p>
      <w:pPr>
        <w:spacing w:line="560" w:lineRule="exact"/>
        <w:ind w:firstLine="640"/>
        <w:rPr>
          <w:rFonts w:ascii="仿宋_GB2312" w:eastAsia="仿宋_GB2312"/>
          <w:sz w:val="32"/>
          <w:szCs w:val="32"/>
        </w:rPr>
      </w:pPr>
      <w:r>
        <w:rPr>
          <w:rFonts w:hint="eastAsia" w:ascii="仿宋_GB2312" w:eastAsia="仿宋_GB2312"/>
          <w:sz w:val="32"/>
          <w:szCs w:val="32"/>
        </w:rPr>
        <w:t>按照既定应急指挥机构和应急工作组组织应急队伍，本次事件一般需要应急处置组进行污染源排查和污染物处置；</w:t>
      </w:r>
    </w:p>
    <w:p>
      <w:pPr>
        <w:spacing w:line="560" w:lineRule="exact"/>
        <w:ind w:firstLine="640"/>
        <w:rPr>
          <w:rFonts w:ascii="仿宋_GB2312" w:eastAsia="仿宋_GB2312"/>
          <w:sz w:val="32"/>
          <w:szCs w:val="32"/>
        </w:rPr>
      </w:pPr>
      <w:r>
        <w:rPr>
          <w:rFonts w:hint="eastAsia" w:ascii="仿宋_GB2312" w:eastAsia="仿宋_GB2312"/>
          <w:sz w:val="32"/>
          <w:szCs w:val="32"/>
        </w:rPr>
        <w:t>应急监测组人员进行各应急监测断面进行监测；</w:t>
      </w:r>
    </w:p>
    <w:p>
      <w:pPr>
        <w:spacing w:line="560" w:lineRule="exact"/>
        <w:ind w:firstLine="640"/>
        <w:rPr>
          <w:rFonts w:ascii="仿宋_GB2312" w:eastAsia="仿宋_GB2312"/>
          <w:sz w:val="32"/>
          <w:szCs w:val="32"/>
        </w:rPr>
      </w:pPr>
      <w:r>
        <w:rPr>
          <w:rFonts w:hint="eastAsia" w:ascii="仿宋_GB2312" w:eastAsia="仿宋_GB2312"/>
          <w:sz w:val="32"/>
          <w:szCs w:val="32"/>
        </w:rPr>
        <w:t>应急供水保障组人员确保供水单位的应对措施及时到位，并根据情况及时启动备用水源等；</w:t>
      </w:r>
    </w:p>
    <w:p>
      <w:pPr>
        <w:spacing w:line="560" w:lineRule="exact"/>
        <w:ind w:firstLine="640"/>
        <w:rPr>
          <w:rFonts w:ascii="仿宋_GB2312" w:eastAsia="仿宋_GB2312"/>
          <w:sz w:val="32"/>
          <w:szCs w:val="32"/>
        </w:rPr>
      </w:pPr>
      <w:r>
        <w:rPr>
          <w:rFonts w:hint="eastAsia" w:ascii="仿宋_GB2312" w:eastAsia="仿宋_GB2312"/>
          <w:sz w:val="32"/>
          <w:szCs w:val="32"/>
        </w:rPr>
        <w:t>应急物资供应组确保各项物资及时就位；</w:t>
      </w:r>
    </w:p>
    <w:p>
      <w:pPr>
        <w:spacing w:line="560" w:lineRule="exact"/>
        <w:ind w:firstLine="640"/>
        <w:rPr>
          <w:rFonts w:ascii="仿宋_GB2312" w:eastAsia="仿宋_GB2312"/>
          <w:sz w:val="32"/>
          <w:szCs w:val="32"/>
        </w:rPr>
      </w:pPr>
      <w:r>
        <w:rPr>
          <w:rFonts w:hint="eastAsia" w:ascii="仿宋_GB2312" w:eastAsia="仿宋_GB2312"/>
          <w:sz w:val="32"/>
          <w:szCs w:val="32"/>
        </w:rPr>
        <w:t>应急专家组及时准确进行事态研判，为事件应急提供技术力量。</w:t>
      </w:r>
    </w:p>
    <w:p>
      <w:pPr>
        <w:spacing w:line="560" w:lineRule="exact"/>
        <w:ind w:firstLine="640"/>
        <w:rPr>
          <w:rFonts w:ascii="仿宋_GB2312" w:eastAsia="仿宋_GB2312"/>
          <w:sz w:val="32"/>
          <w:szCs w:val="32"/>
        </w:rPr>
      </w:pPr>
      <w:r>
        <w:rPr>
          <w:rFonts w:hint="eastAsia" w:ascii="仿宋_GB2312" w:eastAsia="仿宋_GB2312"/>
          <w:sz w:val="32"/>
          <w:szCs w:val="32"/>
        </w:rPr>
        <w:t>（7）供水单位应对</w:t>
      </w:r>
    </w:p>
    <w:p>
      <w:pPr>
        <w:spacing w:line="560" w:lineRule="exact"/>
        <w:ind w:firstLine="640"/>
        <w:rPr>
          <w:rFonts w:ascii="仿宋_GB2312" w:eastAsia="仿宋_GB2312"/>
          <w:sz w:val="32"/>
          <w:szCs w:val="32"/>
        </w:rPr>
      </w:pPr>
      <w:r>
        <w:rPr>
          <w:rFonts w:hint="eastAsia" w:ascii="仿宋_GB2312" w:eastAsia="仿宋_GB2312"/>
          <w:sz w:val="32"/>
          <w:szCs w:val="32"/>
        </w:rPr>
        <w:t>按照应急指挥机构指令，太仓市水处理有限责任公司第三水厂及时减少取水或停止取水，第三水厂及时启动液氯、高锰酸钾、粉末活性炭等投加装置进行应对。第三水厂（浏河水库备用水源）及时启动备用水源。</w:t>
      </w:r>
    </w:p>
    <w:p>
      <w:pPr>
        <w:pStyle w:val="7"/>
        <w:spacing w:line="560" w:lineRule="exact"/>
        <w:rPr>
          <w:rFonts w:ascii="仿宋_GB2312" w:eastAsia="仿宋_GB2312"/>
          <w:sz w:val="32"/>
          <w:szCs w:val="32"/>
        </w:rPr>
      </w:pPr>
      <w:r>
        <w:rPr>
          <w:rFonts w:hint="eastAsia" w:ascii="仿宋_GB2312" w:eastAsia="仿宋_GB2312"/>
          <w:sz w:val="32"/>
          <w:szCs w:val="32"/>
        </w:rPr>
        <w:t>3.5.1.2航线船只交通事故导致载有货物泄漏</w:t>
      </w:r>
    </w:p>
    <w:p>
      <w:pPr>
        <w:spacing w:line="560" w:lineRule="exact"/>
        <w:ind w:firstLine="640"/>
        <w:rPr>
          <w:rFonts w:ascii="仿宋_GB2312" w:eastAsia="仿宋_GB2312"/>
          <w:sz w:val="32"/>
          <w:szCs w:val="32"/>
        </w:rPr>
      </w:pPr>
      <w:r>
        <w:rPr>
          <w:rFonts w:hint="eastAsia" w:ascii="仿宋_GB2312" w:eastAsia="仿宋_GB2312"/>
          <w:sz w:val="32"/>
          <w:szCs w:val="32"/>
        </w:rPr>
        <w:t>（1）事件情景</w:t>
      </w:r>
    </w:p>
    <w:p>
      <w:pPr>
        <w:spacing w:line="560" w:lineRule="exact"/>
        <w:ind w:firstLine="640"/>
        <w:rPr>
          <w:rFonts w:ascii="仿宋_GB2312" w:eastAsia="仿宋_GB2312"/>
          <w:sz w:val="32"/>
          <w:szCs w:val="32"/>
        </w:rPr>
      </w:pPr>
      <w:r>
        <w:rPr>
          <w:rFonts w:hint="eastAsia" w:ascii="仿宋_GB2312" w:eastAsia="仿宋_GB2312"/>
          <w:sz w:val="32"/>
          <w:szCs w:val="32"/>
        </w:rPr>
        <w:t>长江航道航线穿越浏河水源地一级、二级及准保护区，当发生船只交通事故，如货物脱落、撞船、倾覆等情况时，船只载有的货物可能进入水体，尤其是危险化学品或油品，会对水体造成较大污染。</w:t>
      </w:r>
    </w:p>
    <w:p>
      <w:pPr>
        <w:spacing w:line="560" w:lineRule="exact"/>
        <w:ind w:firstLine="640"/>
        <w:rPr>
          <w:rFonts w:ascii="仿宋_GB2312" w:eastAsia="仿宋_GB2312"/>
          <w:sz w:val="32"/>
          <w:szCs w:val="32"/>
        </w:rPr>
      </w:pPr>
      <w:r>
        <w:rPr>
          <w:rFonts w:hint="eastAsia" w:ascii="仿宋_GB2312" w:eastAsia="仿宋_GB2312"/>
          <w:sz w:val="32"/>
          <w:szCs w:val="32"/>
        </w:rPr>
        <w:t>船只相关人员在发生船只交通事故应及时向</w:t>
      </w:r>
      <w:r>
        <w:rPr>
          <w:rFonts w:ascii="仿宋_GB2312" w:eastAsia="仿宋_GB2312"/>
          <w:sz w:val="32"/>
          <w:szCs w:val="32"/>
        </w:rPr>
        <w:t>市交运局</w:t>
      </w:r>
      <w:r>
        <w:rPr>
          <w:rFonts w:hint="eastAsia" w:ascii="仿宋_GB2312" w:eastAsia="仿宋_GB2312"/>
          <w:sz w:val="32"/>
          <w:szCs w:val="32"/>
        </w:rPr>
        <w:t>（太仓海事局）等部门报告事故信息。</w:t>
      </w:r>
    </w:p>
    <w:p>
      <w:pPr>
        <w:spacing w:line="560" w:lineRule="exact"/>
        <w:ind w:firstLine="640"/>
        <w:rPr>
          <w:rFonts w:ascii="仿宋_GB2312" w:eastAsia="仿宋_GB2312"/>
          <w:sz w:val="32"/>
          <w:szCs w:val="32"/>
        </w:rPr>
      </w:pPr>
      <w:r>
        <w:rPr>
          <w:rFonts w:hint="eastAsia" w:ascii="仿宋_GB2312" w:eastAsia="仿宋_GB2312"/>
          <w:sz w:val="32"/>
          <w:szCs w:val="32"/>
        </w:rPr>
        <w:t>（2）应急监测</w:t>
      </w:r>
    </w:p>
    <w:p>
      <w:pPr>
        <w:spacing w:line="560" w:lineRule="exact"/>
        <w:ind w:firstLine="640"/>
        <w:rPr>
          <w:rFonts w:ascii="仿宋_GB2312" w:eastAsia="仿宋_GB2312"/>
          <w:sz w:val="32"/>
          <w:szCs w:val="32"/>
        </w:rPr>
      </w:pPr>
      <w:r>
        <w:rPr>
          <w:rFonts w:hint="eastAsia" w:ascii="仿宋_GB2312" w:eastAsia="仿宋_GB2312"/>
          <w:sz w:val="32"/>
          <w:szCs w:val="32"/>
        </w:rPr>
        <w:t>如接到船只交通事故信息，则根据信息中事故情况和货物载运情况，结合事故地点合理布设监测点位，根据事故信息初步判定应急监测指标，并根据监测结果适时调整监测指标。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如接到举报信息，则根据交通事故现场污染范围和水流方向、速度合理布设监测点位，根据船只所载货物种类、性质以及污染水体物理性状，如颜色、臭味、透明度等情况初步判定应急监测指标，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如根据各监测断面数据报警，则根据断面所处位置、水体流速等条件判断可能的污染范围，合理布设监测点位，根据断面监测数据判定初步判定应急监测指标，并根据监测结果适时调整监测指标。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监测频次一般不低于每小时一次。</w:t>
      </w:r>
    </w:p>
    <w:p>
      <w:pPr>
        <w:spacing w:line="560" w:lineRule="exact"/>
        <w:ind w:firstLine="640"/>
        <w:rPr>
          <w:rFonts w:ascii="仿宋_GB2312" w:eastAsia="仿宋_GB2312"/>
          <w:sz w:val="32"/>
          <w:szCs w:val="32"/>
        </w:rPr>
      </w:pPr>
      <w:r>
        <w:rPr>
          <w:rFonts w:hint="eastAsia" w:ascii="仿宋_GB2312" w:eastAsia="仿宋_GB2312"/>
          <w:sz w:val="32"/>
          <w:szCs w:val="32"/>
        </w:rPr>
        <w:t>（3）污染源排查与处置</w:t>
      </w:r>
    </w:p>
    <w:p>
      <w:pPr>
        <w:spacing w:line="560" w:lineRule="exact"/>
        <w:ind w:firstLine="640"/>
        <w:rPr>
          <w:rFonts w:ascii="仿宋_GB2312" w:eastAsia="仿宋_GB2312"/>
          <w:sz w:val="32"/>
          <w:szCs w:val="32"/>
        </w:rPr>
      </w:pPr>
      <w:r>
        <w:rPr>
          <w:rFonts w:hint="eastAsia" w:ascii="仿宋_GB2312" w:eastAsia="仿宋_GB2312"/>
          <w:sz w:val="32"/>
          <w:szCs w:val="32"/>
        </w:rPr>
        <w:t>尽快组织船只货物打捞，堵漏化学品或油品储存装置泄漏部位，如发生翻船则尽快原位扶正。</w:t>
      </w:r>
    </w:p>
    <w:p>
      <w:pPr>
        <w:spacing w:line="560" w:lineRule="exact"/>
        <w:ind w:firstLine="640"/>
        <w:rPr>
          <w:rFonts w:ascii="仿宋_GB2312" w:eastAsia="仿宋_GB2312"/>
          <w:sz w:val="32"/>
          <w:szCs w:val="32"/>
        </w:rPr>
      </w:pPr>
      <w:r>
        <w:rPr>
          <w:rFonts w:hint="eastAsia" w:ascii="仿宋_GB2312" w:eastAsia="仿宋_GB2312"/>
          <w:sz w:val="32"/>
          <w:szCs w:val="32"/>
        </w:rPr>
        <w:t>（4）污染物处置</w:t>
      </w:r>
    </w:p>
    <w:p>
      <w:pPr>
        <w:spacing w:line="560" w:lineRule="exact"/>
        <w:ind w:firstLine="640"/>
        <w:rPr>
          <w:rFonts w:ascii="仿宋_GB2312" w:eastAsia="仿宋_GB2312"/>
          <w:sz w:val="32"/>
          <w:szCs w:val="32"/>
        </w:rPr>
      </w:pPr>
      <w:r>
        <w:rPr>
          <w:rFonts w:hint="eastAsia" w:ascii="仿宋_GB2312" w:eastAsia="仿宋_GB2312"/>
          <w:sz w:val="32"/>
          <w:szCs w:val="32"/>
        </w:rPr>
        <w:t>根据船只事故情况，并结合现场监测数据，提出针对性的处理方法。</w:t>
      </w:r>
    </w:p>
    <w:p>
      <w:pPr>
        <w:spacing w:line="560" w:lineRule="exact"/>
        <w:ind w:firstLine="640"/>
        <w:rPr>
          <w:rFonts w:ascii="仿宋_GB2312" w:eastAsia="仿宋_GB2312"/>
          <w:sz w:val="32"/>
          <w:szCs w:val="32"/>
        </w:rPr>
      </w:pPr>
      <w:r>
        <w:rPr>
          <w:rFonts w:hint="eastAsia" w:ascii="仿宋_GB2312" w:eastAsia="仿宋_GB2312"/>
          <w:sz w:val="32"/>
          <w:szCs w:val="32"/>
        </w:rPr>
        <w:t>（5）应急物资调集</w:t>
      </w:r>
    </w:p>
    <w:p>
      <w:pPr>
        <w:spacing w:line="560" w:lineRule="exact"/>
        <w:ind w:firstLine="640"/>
        <w:rPr>
          <w:rFonts w:ascii="仿宋_GB2312" w:eastAsia="仿宋_GB2312"/>
          <w:sz w:val="32"/>
          <w:szCs w:val="32"/>
        </w:rPr>
      </w:pPr>
      <w:r>
        <w:rPr>
          <w:rFonts w:hint="eastAsia" w:ascii="仿宋_GB2312" w:eastAsia="仿宋_GB2312"/>
          <w:sz w:val="32"/>
          <w:szCs w:val="32"/>
        </w:rPr>
        <w:t>根据现场污染情况确定需用的应急物资，流动源突发环境事件多以化学性污染和石油类污染为主，使用高锰酸钾、活性炭、液氯等药剂应对化学性污染，太仓市第三水厂有储存和配套的加药装置。使用吸油毡、围油栏等应对石油类污染，应在太仓市第三水厂内配备必要的物资，方便就近取用。</w:t>
      </w:r>
    </w:p>
    <w:p>
      <w:pPr>
        <w:spacing w:line="560" w:lineRule="exact"/>
        <w:ind w:firstLine="640"/>
        <w:rPr>
          <w:rFonts w:ascii="仿宋_GB2312" w:eastAsia="仿宋_GB2312"/>
          <w:sz w:val="32"/>
          <w:szCs w:val="32"/>
        </w:rPr>
      </w:pPr>
      <w:r>
        <w:rPr>
          <w:rFonts w:hint="eastAsia" w:ascii="仿宋_GB2312" w:eastAsia="仿宋_GB2312"/>
          <w:sz w:val="32"/>
          <w:szCs w:val="32"/>
        </w:rPr>
        <w:t>（6）应急队伍和人员安排</w:t>
      </w:r>
    </w:p>
    <w:p>
      <w:pPr>
        <w:spacing w:line="560" w:lineRule="exact"/>
        <w:ind w:firstLine="640"/>
        <w:rPr>
          <w:rFonts w:ascii="仿宋_GB2312" w:eastAsia="仿宋_GB2312"/>
          <w:sz w:val="32"/>
          <w:szCs w:val="32"/>
        </w:rPr>
      </w:pPr>
      <w:r>
        <w:rPr>
          <w:rFonts w:hint="eastAsia" w:ascii="仿宋_GB2312" w:eastAsia="仿宋_GB2312"/>
          <w:sz w:val="32"/>
          <w:szCs w:val="32"/>
        </w:rPr>
        <w:t>按照既定应急指挥机构和应急工作组组织应急队伍，需要应急处置组进行船舶事故污染物处置，并配合</w:t>
      </w:r>
      <w:r>
        <w:rPr>
          <w:sz w:val="32"/>
          <w:szCs w:val="32"/>
        </w:rPr>
        <w:t>市交运局</w:t>
      </w:r>
      <w:r>
        <w:rPr>
          <w:rFonts w:hint="eastAsia"/>
          <w:sz w:val="32"/>
          <w:szCs w:val="32"/>
        </w:rPr>
        <w:t>、市</w:t>
      </w:r>
      <w:r>
        <w:rPr>
          <w:rFonts w:hint="eastAsia" w:ascii="仿宋_GB2312" w:eastAsia="仿宋_GB2312"/>
          <w:sz w:val="32"/>
          <w:szCs w:val="32"/>
        </w:rPr>
        <w:t>水务局、</w:t>
      </w:r>
      <w:r>
        <w:rPr>
          <w:rFonts w:hint="eastAsia"/>
          <w:sz w:val="32"/>
          <w:szCs w:val="32"/>
        </w:rPr>
        <w:t>市</w:t>
      </w:r>
      <w:r>
        <w:rPr>
          <w:rFonts w:hint="eastAsia" w:ascii="仿宋_GB2312" w:eastAsia="仿宋_GB2312"/>
          <w:sz w:val="32"/>
          <w:szCs w:val="32"/>
        </w:rPr>
        <w:t>海事局进行船只处理。</w:t>
      </w:r>
    </w:p>
    <w:p>
      <w:pPr>
        <w:spacing w:line="560" w:lineRule="exact"/>
        <w:ind w:firstLine="640"/>
        <w:rPr>
          <w:rFonts w:ascii="仿宋_GB2312" w:eastAsia="仿宋_GB2312"/>
          <w:sz w:val="32"/>
          <w:szCs w:val="32"/>
        </w:rPr>
      </w:pPr>
      <w:r>
        <w:rPr>
          <w:rFonts w:hint="eastAsia" w:ascii="仿宋_GB2312" w:eastAsia="仿宋_GB2312"/>
          <w:sz w:val="32"/>
          <w:szCs w:val="32"/>
        </w:rPr>
        <w:t>应急监测组应急监测各断面。</w:t>
      </w:r>
    </w:p>
    <w:p>
      <w:pPr>
        <w:spacing w:line="560" w:lineRule="exact"/>
        <w:ind w:firstLine="640"/>
        <w:rPr>
          <w:rFonts w:ascii="仿宋_GB2312" w:eastAsia="仿宋_GB2312"/>
          <w:sz w:val="32"/>
          <w:szCs w:val="32"/>
        </w:rPr>
      </w:pPr>
      <w:r>
        <w:rPr>
          <w:rFonts w:hint="eastAsia" w:ascii="仿宋_GB2312" w:eastAsia="仿宋_GB2312"/>
          <w:sz w:val="32"/>
          <w:szCs w:val="32"/>
        </w:rPr>
        <w:t>应急供水保障组确保供水单位应对措施及时到位，并根据情况及时启动备用水源等。</w:t>
      </w:r>
    </w:p>
    <w:p>
      <w:pPr>
        <w:spacing w:line="560" w:lineRule="exact"/>
        <w:ind w:firstLine="640"/>
        <w:rPr>
          <w:rFonts w:ascii="仿宋_GB2312" w:eastAsia="仿宋_GB2312"/>
          <w:sz w:val="32"/>
          <w:szCs w:val="32"/>
        </w:rPr>
      </w:pPr>
      <w:r>
        <w:rPr>
          <w:rFonts w:hint="eastAsia" w:ascii="仿宋_GB2312" w:eastAsia="仿宋_GB2312"/>
          <w:sz w:val="32"/>
          <w:szCs w:val="32"/>
        </w:rPr>
        <w:t>应急物资供应组确保物资及时到位。</w:t>
      </w:r>
    </w:p>
    <w:p>
      <w:pPr>
        <w:spacing w:line="560" w:lineRule="exact"/>
        <w:ind w:firstLine="640"/>
        <w:rPr>
          <w:rFonts w:ascii="仿宋_GB2312" w:eastAsia="仿宋_GB2312"/>
          <w:sz w:val="32"/>
          <w:szCs w:val="32"/>
        </w:rPr>
      </w:pPr>
      <w:r>
        <w:rPr>
          <w:rFonts w:hint="eastAsia" w:ascii="仿宋_GB2312" w:eastAsia="仿宋_GB2312"/>
          <w:sz w:val="32"/>
          <w:szCs w:val="32"/>
        </w:rPr>
        <w:t>应急专家组及时准确研判事态，提供技术力量。</w:t>
      </w:r>
    </w:p>
    <w:p>
      <w:pPr>
        <w:spacing w:line="560" w:lineRule="exact"/>
        <w:ind w:firstLine="640"/>
        <w:rPr>
          <w:rFonts w:ascii="仿宋_GB2312" w:eastAsia="仿宋_GB2312"/>
          <w:sz w:val="32"/>
          <w:szCs w:val="32"/>
        </w:rPr>
      </w:pPr>
      <w:r>
        <w:rPr>
          <w:rFonts w:hint="eastAsia" w:ascii="仿宋_GB2312" w:eastAsia="仿宋_GB2312"/>
          <w:sz w:val="32"/>
          <w:szCs w:val="32"/>
        </w:rPr>
        <w:t>（7）供水单位应对</w:t>
      </w:r>
    </w:p>
    <w:p>
      <w:pPr>
        <w:spacing w:line="560" w:lineRule="exact"/>
        <w:ind w:firstLine="640"/>
        <w:rPr>
          <w:rFonts w:ascii="仿宋_GB2312" w:eastAsia="仿宋_GB2312"/>
          <w:sz w:val="32"/>
          <w:szCs w:val="32"/>
        </w:rPr>
      </w:pPr>
      <w:r>
        <w:rPr>
          <w:rFonts w:hint="eastAsia" w:ascii="仿宋_GB2312" w:eastAsia="仿宋_GB2312"/>
          <w:sz w:val="32"/>
          <w:szCs w:val="32"/>
        </w:rPr>
        <w:t>按照应急指挥机构指令，太仓市第三水厂及时减少取水或停止取水，及时启动液氯、高锰酸钾、粉末活性炭等投加装置。第三水厂（浏河水库备用水源）及时启动备用水源。</w:t>
      </w:r>
    </w:p>
    <w:p>
      <w:pPr>
        <w:pStyle w:val="7"/>
        <w:spacing w:line="560" w:lineRule="exact"/>
        <w:rPr>
          <w:rFonts w:ascii="仿宋_GB2312" w:eastAsia="仿宋_GB2312"/>
          <w:sz w:val="32"/>
          <w:szCs w:val="32"/>
        </w:rPr>
      </w:pPr>
      <w:r>
        <w:rPr>
          <w:rFonts w:hint="eastAsia" w:ascii="仿宋_GB2312" w:eastAsia="仿宋_GB2312"/>
          <w:sz w:val="32"/>
          <w:szCs w:val="32"/>
        </w:rPr>
        <w:t>3.5.1.3航线船只严重交通事故导致船只油品泄漏</w:t>
      </w:r>
    </w:p>
    <w:p>
      <w:pPr>
        <w:spacing w:line="560" w:lineRule="exact"/>
        <w:ind w:firstLine="640"/>
        <w:rPr>
          <w:rFonts w:ascii="仿宋_GB2312" w:eastAsia="仿宋_GB2312"/>
          <w:sz w:val="32"/>
          <w:szCs w:val="32"/>
        </w:rPr>
      </w:pPr>
      <w:r>
        <w:rPr>
          <w:rFonts w:hint="eastAsia" w:ascii="仿宋_GB2312" w:eastAsia="仿宋_GB2312"/>
          <w:sz w:val="32"/>
          <w:szCs w:val="32"/>
        </w:rPr>
        <w:t>（1）事件情景</w:t>
      </w:r>
    </w:p>
    <w:p>
      <w:pPr>
        <w:spacing w:line="560" w:lineRule="exact"/>
        <w:ind w:firstLine="640"/>
        <w:rPr>
          <w:rFonts w:ascii="仿宋_GB2312" w:eastAsia="仿宋_GB2312"/>
          <w:sz w:val="32"/>
          <w:szCs w:val="32"/>
        </w:rPr>
      </w:pPr>
      <w:r>
        <w:rPr>
          <w:rFonts w:hint="eastAsia" w:ascii="仿宋_GB2312" w:eastAsia="仿宋_GB2312"/>
          <w:sz w:val="32"/>
          <w:szCs w:val="32"/>
        </w:rPr>
        <w:t>长江航道航线穿越一级、二级及准保护区，当船只发生严重交通事故，如撞船、倾覆等情况时，船只自身使用的油品可能进入水体，造成较大污染。</w:t>
      </w:r>
    </w:p>
    <w:p>
      <w:pPr>
        <w:spacing w:line="560" w:lineRule="exact"/>
        <w:ind w:firstLine="640"/>
        <w:rPr>
          <w:rFonts w:ascii="仿宋_GB2312" w:eastAsia="仿宋_GB2312"/>
          <w:sz w:val="32"/>
          <w:szCs w:val="32"/>
        </w:rPr>
      </w:pPr>
      <w:r>
        <w:rPr>
          <w:rFonts w:hint="eastAsia" w:ascii="仿宋_GB2312" w:eastAsia="仿宋_GB2312"/>
          <w:sz w:val="32"/>
          <w:szCs w:val="32"/>
        </w:rPr>
        <w:t>船只上的人员在发生船只交通事故应及时向太仓海事局等部门报告事故信息。</w:t>
      </w:r>
    </w:p>
    <w:p>
      <w:pPr>
        <w:spacing w:line="560" w:lineRule="exact"/>
        <w:ind w:firstLine="640"/>
        <w:rPr>
          <w:rFonts w:ascii="仿宋_GB2312" w:eastAsia="仿宋_GB2312"/>
          <w:sz w:val="32"/>
          <w:szCs w:val="32"/>
        </w:rPr>
      </w:pPr>
      <w:r>
        <w:rPr>
          <w:rFonts w:hint="eastAsia" w:ascii="仿宋_GB2312" w:eastAsia="仿宋_GB2312"/>
          <w:sz w:val="32"/>
          <w:szCs w:val="32"/>
        </w:rPr>
        <w:t>（2）应急监测</w:t>
      </w:r>
    </w:p>
    <w:p>
      <w:pPr>
        <w:spacing w:line="560" w:lineRule="exact"/>
        <w:ind w:firstLine="640"/>
        <w:rPr>
          <w:rFonts w:ascii="仿宋_GB2312" w:eastAsia="仿宋_GB2312"/>
          <w:sz w:val="32"/>
          <w:szCs w:val="32"/>
        </w:rPr>
      </w:pPr>
      <w:r>
        <w:rPr>
          <w:rFonts w:hint="eastAsia" w:ascii="仿宋_GB2312" w:eastAsia="仿宋_GB2312"/>
          <w:sz w:val="32"/>
          <w:szCs w:val="32"/>
        </w:rPr>
        <w:t>如接到船只交通事故信息，则根据信息中事故情况和油品泄漏情况，结合事故地点合理布设监测点位，根据事故信息初步判定应急监测指标，至少包括石油类，并根据监测结果适时调整监测指标。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如接到举报信息，则根据交通事故现场污染范围和水流方向、速度合理布设监测点位，根据船只所载货物种类、性质以及污染水体物理性状，如颜色、臭味、透明度等情况初步判定应急监测指标，至少包括石油类，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如根据各监测断面数据报警，则根据断面所处位置、水体流速等条件判断可能的污染范围，合理布设监测点位，根据断面监测数据初步判定应急监测指标，至少包括石油类，并根据监测结果适时调整监测指标。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监测频次一般不低于每小时一次。</w:t>
      </w:r>
    </w:p>
    <w:p>
      <w:pPr>
        <w:spacing w:line="560" w:lineRule="exact"/>
        <w:ind w:firstLine="640"/>
        <w:rPr>
          <w:rFonts w:ascii="仿宋_GB2312" w:eastAsia="仿宋_GB2312"/>
          <w:sz w:val="32"/>
          <w:szCs w:val="32"/>
        </w:rPr>
      </w:pPr>
      <w:r>
        <w:rPr>
          <w:rFonts w:hint="eastAsia" w:ascii="仿宋_GB2312" w:eastAsia="仿宋_GB2312"/>
          <w:sz w:val="32"/>
          <w:szCs w:val="32"/>
        </w:rPr>
        <w:t>（3）污染源排查与处置</w:t>
      </w:r>
    </w:p>
    <w:p>
      <w:pPr>
        <w:spacing w:line="560" w:lineRule="exact"/>
        <w:ind w:firstLine="640"/>
        <w:rPr>
          <w:rFonts w:ascii="仿宋_GB2312" w:eastAsia="仿宋_GB2312"/>
          <w:sz w:val="32"/>
          <w:szCs w:val="32"/>
        </w:rPr>
      </w:pPr>
      <w:r>
        <w:rPr>
          <w:rFonts w:hint="eastAsia" w:ascii="仿宋_GB2312" w:eastAsia="仿宋_GB2312"/>
          <w:sz w:val="32"/>
          <w:szCs w:val="32"/>
        </w:rPr>
        <w:t>尽快组织堵漏船只自身油品泄漏部位，如发生翻船尽快原位扶正。</w:t>
      </w:r>
    </w:p>
    <w:p>
      <w:pPr>
        <w:spacing w:line="560" w:lineRule="exact"/>
        <w:ind w:firstLine="640"/>
        <w:rPr>
          <w:rFonts w:ascii="仿宋_GB2312" w:eastAsia="仿宋_GB2312"/>
          <w:sz w:val="32"/>
          <w:szCs w:val="32"/>
        </w:rPr>
      </w:pPr>
      <w:r>
        <w:rPr>
          <w:rFonts w:hint="eastAsia" w:ascii="仿宋_GB2312" w:eastAsia="仿宋_GB2312"/>
          <w:sz w:val="32"/>
          <w:szCs w:val="32"/>
        </w:rPr>
        <w:t>（4）污染物处置</w:t>
      </w:r>
    </w:p>
    <w:p>
      <w:pPr>
        <w:spacing w:line="560" w:lineRule="exact"/>
        <w:ind w:firstLine="640"/>
        <w:rPr>
          <w:rFonts w:ascii="仿宋_GB2312" w:eastAsia="仿宋_GB2312"/>
          <w:sz w:val="32"/>
          <w:szCs w:val="32"/>
        </w:rPr>
      </w:pPr>
      <w:r>
        <w:rPr>
          <w:rFonts w:hint="eastAsia" w:ascii="仿宋_GB2312" w:eastAsia="仿宋_GB2312"/>
          <w:sz w:val="32"/>
          <w:szCs w:val="32"/>
        </w:rPr>
        <w:t>根据船只事故情况，并结合现场监测数据，提出针对性的处理方法。</w:t>
      </w:r>
    </w:p>
    <w:p>
      <w:pPr>
        <w:spacing w:line="560" w:lineRule="exact"/>
        <w:ind w:firstLine="640"/>
        <w:rPr>
          <w:rFonts w:ascii="仿宋_GB2312" w:eastAsia="仿宋_GB2312"/>
          <w:sz w:val="32"/>
          <w:szCs w:val="32"/>
        </w:rPr>
      </w:pPr>
      <w:r>
        <w:rPr>
          <w:rFonts w:hint="eastAsia" w:ascii="仿宋_GB2312" w:eastAsia="仿宋_GB2312"/>
          <w:sz w:val="32"/>
          <w:szCs w:val="32"/>
        </w:rPr>
        <w:t>（5）应急物资调集</w:t>
      </w:r>
    </w:p>
    <w:p>
      <w:pPr>
        <w:spacing w:line="560" w:lineRule="exact"/>
        <w:ind w:firstLine="640"/>
        <w:rPr>
          <w:rFonts w:ascii="仿宋_GB2312" w:eastAsia="仿宋_GB2312"/>
          <w:sz w:val="32"/>
          <w:szCs w:val="32"/>
        </w:rPr>
      </w:pPr>
      <w:r>
        <w:rPr>
          <w:rFonts w:hint="eastAsia" w:ascii="仿宋_GB2312" w:eastAsia="仿宋_GB2312"/>
          <w:sz w:val="32"/>
          <w:szCs w:val="32"/>
        </w:rPr>
        <w:t>使用吸油毡、围油栏等应对石油类污染，应在太仓市第三水厂配备必要的物资，方便就近取用。</w:t>
      </w:r>
    </w:p>
    <w:p>
      <w:pPr>
        <w:spacing w:line="560" w:lineRule="exact"/>
        <w:ind w:firstLine="640"/>
        <w:rPr>
          <w:rFonts w:ascii="仿宋_GB2312" w:eastAsia="仿宋_GB2312"/>
          <w:sz w:val="32"/>
          <w:szCs w:val="32"/>
        </w:rPr>
      </w:pPr>
      <w:r>
        <w:rPr>
          <w:rFonts w:hint="eastAsia" w:ascii="仿宋_GB2312" w:eastAsia="仿宋_GB2312"/>
          <w:sz w:val="32"/>
          <w:szCs w:val="32"/>
        </w:rPr>
        <w:t>（6）应急队伍和人员安排</w:t>
      </w:r>
    </w:p>
    <w:p>
      <w:pPr>
        <w:spacing w:line="560" w:lineRule="exact"/>
        <w:ind w:firstLine="640"/>
        <w:rPr>
          <w:rFonts w:ascii="仿宋_GB2312" w:eastAsia="仿宋_GB2312"/>
          <w:sz w:val="32"/>
          <w:szCs w:val="32"/>
        </w:rPr>
      </w:pPr>
      <w:r>
        <w:rPr>
          <w:rFonts w:hint="eastAsia" w:ascii="仿宋_GB2312" w:eastAsia="仿宋_GB2312"/>
          <w:sz w:val="32"/>
          <w:szCs w:val="32"/>
        </w:rPr>
        <w:t>按照既定应急指挥机构和应急工作组组织应急队伍，需要应急处置组进行船舶事故污染物处置，并配合市水务局、市海事局进行船只处理。</w:t>
      </w:r>
    </w:p>
    <w:p>
      <w:pPr>
        <w:spacing w:line="560" w:lineRule="exact"/>
        <w:ind w:firstLine="640"/>
        <w:rPr>
          <w:rFonts w:ascii="仿宋_GB2312" w:eastAsia="仿宋_GB2312"/>
          <w:sz w:val="32"/>
          <w:szCs w:val="32"/>
        </w:rPr>
      </w:pPr>
      <w:r>
        <w:rPr>
          <w:rFonts w:hint="eastAsia" w:ascii="仿宋_GB2312" w:eastAsia="仿宋_GB2312"/>
          <w:sz w:val="32"/>
          <w:szCs w:val="32"/>
        </w:rPr>
        <w:t>应急监测组应急监测各断面。</w:t>
      </w:r>
    </w:p>
    <w:p>
      <w:pPr>
        <w:spacing w:line="560" w:lineRule="exact"/>
        <w:ind w:firstLine="640"/>
        <w:rPr>
          <w:rFonts w:ascii="仿宋_GB2312" w:eastAsia="仿宋_GB2312"/>
          <w:sz w:val="32"/>
          <w:szCs w:val="32"/>
        </w:rPr>
      </w:pPr>
      <w:r>
        <w:rPr>
          <w:rFonts w:hint="eastAsia" w:ascii="仿宋_GB2312" w:eastAsia="仿宋_GB2312"/>
          <w:sz w:val="32"/>
          <w:szCs w:val="32"/>
        </w:rPr>
        <w:t>应急供水保障组人员确保供水单位的对措施及时到位，并根据情况及时启动备用水源等。</w:t>
      </w:r>
    </w:p>
    <w:p>
      <w:pPr>
        <w:spacing w:line="560" w:lineRule="exact"/>
        <w:ind w:firstLine="640"/>
        <w:rPr>
          <w:rFonts w:ascii="仿宋_GB2312" w:eastAsia="仿宋_GB2312"/>
          <w:sz w:val="32"/>
          <w:szCs w:val="32"/>
        </w:rPr>
      </w:pPr>
      <w:r>
        <w:rPr>
          <w:rFonts w:hint="eastAsia" w:ascii="仿宋_GB2312" w:eastAsia="仿宋_GB2312"/>
          <w:sz w:val="32"/>
          <w:szCs w:val="32"/>
        </w:rPr>
        <w:t>应急物资供应组确保物资及时到位。</w:t>
      </w:r>
    </w:p>
    <w:p>
      <w:pPr>
        <w:spacing w:line="560" w:lineRule="exact"/>
        <w:ind w:firstLine="640"/>
        <w:rPr>
          <w:rFonts w:ascii="仿宋_GB2312" w:eastAsia="仿宋_GB2312"/>
          <w:sz w:val="32"/>
          <w:szCs w:val="32"/>
        </w:rPr>
      </w:pPr>
      <w:r>
        <w:rPr>
          <w:rFonts w:hint="eastAsia" w:ascii="仿宋_GB2312" w:eastAsia="仿宋_GB2312"/>
          <w:sz w:val="32"/>
          <w:szCs w:val="32"/>
        </w:rPr>
        <w:t>应急专家组及时准确研判事态，提供技术力量。</w:t>
      </w:r>
    </w:p>
    <w:p>
      <w:pPr>
        <w:spacing w:line="560" w:lineRule="exact"/>
        <w:ind w:firstLine="640"/>
        <w:rPr>
          <w:rFonts w:ascii="仿宋_GB2312" w:eastAsia="仿宋_GB2312"/>
          <w:sz w:val="32"/>
          <w:szCs w:val="32"/>
        </w:rPr>
      </w:pPr>
      <w:r>
        <w:rPr>
          <w:rFonts w:hint="eastAsia" w:ascii="仿宋_GB2312" w:eastAsia="仿宋_GB2312"/>
          <w:sz w:val="32"/>
          <w:szCs w:val="32"/>
        </w:rPr>
        <w:t>（7）供水单位应对</w:t>
      </w:r>
    </w:p>
    <w:p>
      <w:pPr>
        <w:spacing w:line="560" w:lineRule="exact"/>
        <w:ind w:firstLine="640"/>
        <w:rPr>
          <w:rFonts w:ascii="仿宋_GB2312" w:eastAsia="仿宋_GB2312"/>
          <w:sz w:val="32"/>
          <w:szCs w:val="32"/>
        </w:rPr>
      </w:pPr>
      <w:r>
        <w:rPr>
          <w:rFonts w:hint="eastAsia" w:ascii="仿宋_GB2312" w:eastAsia="仿宋_GB2312"/>
          <w:sz w:val="32"/>
          <w:szCs w:val="32"/>
        </w:rPr>
        <w:t>按照应急指挥机构指令，太仓市第三水厂及时减少取水或停止取水，及时启动液氯、高锰酸钾、粉末活性炭等投加装置。第三水厂（浏河水库备用水源）及时启动备用水源。</w:t>
      </w:r>
    </w:p>
    <w:p>
      <w:pPr>
        <w:pStyle w:val="7"/>
        <w:spacing w:line="560" w:lineRule="exact"/>
        <w:rPr>
          <w:rFonts w:ascii="仿宋_GB2312" w:eastAsia="仿宋_GB2312"/>
          <w:sz w:val="32"/>
          <w:szCs w:val="32"/>
        </w:rPr>
      </w:pPr>
      <w:r>
        <w:rPr>
          <w:rFonts w:hint="eastAsia" w:ascii="仿宋_GB2312" w:eastAsia="仿宋_GB2312"/>
          <w:sz w:val="32"/>
          <w:szCs w:val="32"/>
        </w:rPr>
        <w:t>3.5.1.4强降水冲刷等极端天气或自然灾害造成的面源污染</w:t>
      </w:r>
    </w:p>
    <w:p>
      <w:pPr>
        <w:spacing w:line="560" w:lineRule="exact"/>
        <w:ind w:firstLine="640"/>
        <w:rPr>
          <w:rFonts w:ascii="仿宋_GB2312" w:eastAsia="仿宋_GB2312"/>
          <w:sz w:val="32"/>
          <w:szCs w:val="32"/>
        </w:rPr>
      </w:pPr>
      <w:r>
        <w:rPr>
          <w:rFonts w:hint="eastAsia" w:ascii="仿宋_GB2312" w:eastAsia="仿宋_GB2312"/>
          <w:sz w:val="32"/>
          <w:szCs w:val="32"/>
        </w:rPr>
        <w:t>（1）事件情景</w:t>
      </w:r>
    </w:p>
    <w:p>
      <w:pPr>
        <w:spacing w:line="560" w:lineRule="exact"/>
        <w:ind w:firstLine="640"/>
        <w:rPr>
          <w:rFonts w:ascii="仿宋_GB2312" w:eastAsia="仿宋_GB2312"/>
          <w:sz w:val="32"/>
          <w:szCs w:val="32"/>
        </w:rPr>
      </w:pPr>
      <w:r>
        <w:rPr>
          <w:rFonts w:hint="eastAsia" w:ascii="仿宋_GB2312" w:eastAsia="仿宋_GB2312"/>
          <w:sz w:val="32"/>
          <w:szCs w:val="32"/>
        </w:rPr>
        <w:t>强降水天气冲刷太仓市沿江区域或其他极端天气、自然灾害将太仓市沿江区域的一些地表垃圾、农村积存的生活污水、垃圾、畜禽养殖污染物、农田化肥、农药以及可能的流动源风险物质通过地表漫流，逐步污染浏河水源地。</w:t>
      </w:r>
    </w:p>
    <w:p>
      <w:pPr>
        <w:spacing w:line="560" w:lineRule="exact"/>
        <w:ind w:firstLine="640"/>
        <w:rPr>
          <w:rFonts w:ascii="仿宋_GB2312" w:eastAsia="仿宋_GB2312"/>
          <w:sz w:val="32"/>
          <w:szCs w:val="32"/>
        </w:rPr>
      </w:pPr>
      <w:r>
        <w:rPr>
          <w:rFonts w:hint="eastAsia" w:ascii="仿宋_GB2312" w:eastAsia="仿宋_GB2312"/>
          <w:sz w:val="32"/>
          <w:szCs w:val="32"/>
        </w:rPr>
        <w:t>（2）应急监测</w:t>
      </w:r>
    </w:p>
    <w:p>
      <w:pPr>
        <w:spacing w:line="560" w:lineRule="exact"/>
        <w:ind w:firstLine="640"/>
        <w:rPr>
          <w:rFonts w:ascii="仿宋_GB2312" w:eastAsia="仿宋_GB2312"/>
          <w:sz w:val="32"/>
          <w:szCs w:val="32"/>
        </w:rPr>
      </w:pPr>
      <w:r>
        <w:rPr>
          <w:rFonts w:hint="eastAsia" w:ascii="仿宋_GB2312" w:eastAsia="仿宋_GB2312"/>
          <w:sz w:val="32"/>
          <w:szCs w:val="32"/>
        </w:rPr>
        <w:t>根据各监测断面数据报警，根据断面所处位置、降水强度、水体流速等条件判断可能的污染范围，合理布设监测点位，根据断面监测数据初步判定应急监测指标，至少包括氨氮、总氮、总磷，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监测频次一般不低于每小时一次。</w:t>
      </w:r>
    </w:p>
    <w:p>
      <w:pPr>
        <w:spacing w:line="560" w:lineRule="exact"/>
        <w:ind w:firstLine="640"/>
        <w:rPr>
          <w:rFonts w:ascii="仿宋_GB2312" w:eastAsia="仿宋_GB2312"/>
          <w:sz w:val="32"/>
          <w:szCs w:val="32"/>
        </w:rPr>
      </w:pPr>
      <w:r>
        <w:rPr>
          <w:rFonts w:hint="eastAsia" w:ascii="仿宋_GB2312" w:eastAsia="仿宋_GB2312"/>
          <w:sz w:val="32"/>
          <w:szCs w:val="32"/>
        </w:rPr>
        <w:t>（3）污染物处置</w:t>
      </w:r>
    </w:p>
    <w:p>
      <w:pPr>
        <w:spacing w:line="560" w:lineRule="exact"/>
        <w:ind w:firstLine="640"/>
        <w:rPr>
          <w:rFonts w:ascii="仿宋_GB2312" w:eastAsia="仿宋_GB2312"/>
          <w:sz w:val="32"/>
          <w:szCs w:val="32"/>
        </w:rPr>
      </w:pPr>
      <w:r>
        <w:rPr>
          <w:rFonts w:hint="eastAsia" w:ascii="仿宋_GB2312" w:eastAsia="仿宋_GB2312"/>
          <w:sz w:val="32"/>
          <w:szCs w:val="32"/>
        </w:rPr>
        <w:t>根据现场监测数据，提出针对性的处理方法。</w:t>
      </w:r>
    </w:p>
    <w:p>
      <w:pPr>
        <w:spacing w:line="560" w:lineRule="exact"/>
        <w:ind w:firstLine="640"/>
        <w:rPr>
          <w:rFonts w:ascii="仿宋_GB2312" w:eastAsia="仿宋_GB2312"/>
          <w:sz w:val="32"/>
          <w:szCs w:val="32"/>
        </w:rPr>
      </w:pPr>
      <w:r>
        <w:rPr>
          <w:rFonts w:hint="eastAsia" w:ascii="仿宋_GB2312" w:eastAsia="仿宋_GB2312"/>
          <w:sz w:val="32"/>
          <w:szCs w:val="32"/>
        </w:rPr>
        <w:t>（4）应急物资调集</w:t>
      </w:r>
    </w:p>
    <w:p>
      <w:pPr>
        <w:spacing w:line="560" w:lineRule="exact"/>
        <w:ind w:firstLine="640"/>
        <w:rPr>
          <w:rFonts w:ascii="仿宋_GB2312" w:eastAsia="仿宋_GB2312"/>
          <w:sz w:val="32"/>
          <w:szCs w:val="32"/>
        </w:rPr>
      </w:pPr>
      <w:r>
        <w:rPr>
          <w:rFonts w:hint="eastAsia" w:ascii="仿宋_GB2312" w:eastAsia="仿宋_GB2312"/>
          <w:sz w:val="32"/>
          <w:szCs w:val="32"/>
        </w:rPr>
        <w:t>根据现场污染情况确定需用的应急物资。面源污染多以营养盐污染、农药类污染和白色污染为主，使用高锰酸钾应对氨氮污染，强化水池混凝沉淀处理工艺应对总磷污染，粉末活性炭吸附应对农药类污染。白色污染和其他漂浮垃圾，以船只打捞为主。</w:t>
      </w:r>
    </w:p>
    <w:p>
      <w:pPr>
        <w:spacing w:line="560" w:lineRule="exact"/>
        <w:ind w:firstLine="640"/>
        <w:rPr>
          <w:rFonts w:ascii="仿宋_GB2312" w:eastAsia="仿宋_GB2312"/>
          <w:sz w:val="32"/>
          <w:szCs w:val="32"/>
        </w:rPr>
      </w:pPr>
      <w:r>
        <w:rPr>
          <w:rFonts w:hint="eastAsia" w:ascii="仿宋_GB2312" w:eastAsia="仿宋_GB2312"/>
          <w:sz w:val="32"/>
          <w:szCs w:val="32"/>
        </w:rPr>
        <w:t>（5）应急队伍和人员安排</w:t>
      </w:r>
    </w:p>
    <w:p>
      <w:pPr>
        <w:spacing w:line="560" w:lineRule="exact"/>
        <w:ind w:firstLine="640"/>
        <w:rPr>
          <w:rFonts w:ascii="仿宋_GB2312" w:eastAsia="仿宋_GB2312"/>
          <w:sz w:val="32"/>
          <w:szCs w:val="32"/>
        </w:rPr>
      </w:pPr>
      <w:r>
        <w:rPr>
          <w:rFonts w:hint="eastAsia" w:ascii="仿宋_GB2312" w:eastAsia="仿宋_GB2312"/>
          <w:sz w:val="32"/>
          <w:szCs w:val="32"/>
        </w:rPr>
        <w:t>按照既定应急指挥机构和应急工作组组织应急队伍，需要应急处置组进行污染物处置。</w:t>
      </w:r>
    </w:p>
    <w:p>
      <w:pPr>
        <w:spacing w:line="560" w:lineRule="exact"/>
        <w:ind w:firstLine="640"/>
        <w:rPr>
          <w:rFonts w:ascii="仿宋_GB2312" w:eastAsia="仿宋_GB2312"/>
          <w:sz w:val="32"/>
          <w:szCs w:val="32"/>
        </w:rPr>
      </w:pPr>
      <w:r>
        <w:rPr>
          <w:rFonts w:hint="eastAsia" w:ascii="仿宋_GB2312" w:eastAsia="仿宋_GB2312"/>
          <w:sz w:val="32"/>
          <w:szCs w:val="32"/>
        </w:rPr>
        <w:t>应急监测组应急监测各断面。</w:t>
      </w:r>
    </w:p>
    <w:p>
      <w:pPr>
        <w:spacing w:line="560" w:lineRule="exact"/>
        <w:ind w:firstLine="640"/>
        <w:rPr>
          <w:rFonts w:ascii="仿宋_GB2312" w:eastAsia="仿宋_GB2312"/>
          <w:sz w:val="32"/>
          <w:szCs w:val="32"/>
        </w:rPr>
      </w:pPr>
      <w:r>
        <w:rPr>
          <w:rFonts w:hint="eastAsia" w:ascii="仿宋_GB2312" w:eastAsia="仿宋_GB2312"/>
          <w:sz w:val="32"/>
          <w:szCs w:val="32"/>
        </w:rPr>
        <w:t>应急供水保障组确保供水单位的应对措施及时到位，并根据情况及时启动备用水源等。</w:t>
      </w:r>
    </w:p>
    <w:p>
      <w:pPr>
        <w:spacing w:line="560" w:lineRule="exact"/>
        <w:ind w:firstLine="640"/>
        <w:rPr>
          <w:rFonts w:ascii="仿宋_GB2312" w:eastAsia="仿宋_GB2312"/>
          <w:sz w:val="32"/>
          <w:szCs w:val="32"/>
        </w:rPr>
      </w:pPr>
      <w:r>
        <w:rPr>
          <w:rFonts w:hint="eastAsia" w:ascii="仿宋_GB2312" w:eastAsia="仿宋_GB2312"/>
          <w:sz w:val="32"/>
          <w:szCs w:val="32"/>
        </w:rPr>
        <w:t>应急物资供应组确保物资及时到位。</w:t>
      </w:r>
    </w:p>
    <w:p>
      <w:pPr>
        <w:spacing w:line="560" w:lineRule="exact"/>
        <w:ind w:firstLine="640"/>
        <w:rPr>
          <w:rFonts w:ascii="仿宋_GB2312" w:eastAsia="仿宋_GB2312"/>
          <w:sz w:val="32"/>
          <w:szCs w:val="32"/>
        </w:rPr>
      </w:pPr>
      <w:r>
        <w:rPr>
          <w:rFonts w:hint="eastAsia" w:ascii="仿宋_GB2312" w:eastAsia="仿宋_GB2312"/>
          <w:sz w:val="32"/>
          <w:szCs w:val="32"/>
        </w:rPr>
        <w:t>应急专家组及时准确研判事态，提供技术力量。</w:t>
      </w:r>
    </w:p>
    <w:p>
      <w:pPr>
        <w:spacing w:line="560" w:lineRule="exact"/>
        <w:ind w:firstLine="640"/>
        <w:rPr>
          <w:rFonts w:ascii="仿宋_GB2312" w:eastAsia="仿宋_GB2312"/>
          <w:sz w:val="32"/>
          <w:szCs w:val="32"/>
        </w:rPr>
      </w:pPr>
      <w:r>
        <w:rPr>
          <w:rFonts w:hint="eastAsia" w:ascii="仿宋_GB2312" w:eastAsia="仿宋_GB2312"/>
          <w:sz w:val="32"/>
          <w:szCs w:val="32"/>
        </w:rPr>
        <w:t>（6）供水单位应对</w:t>
      </w:r>
    </w:p>
    <w:p>
      <w:pPr>
        <w:spacing w:line="560" w:lineRule="exact"/>
        <w:ind w:firstLine="640"/>
        <w:rPr>
          <w:rFonts w:ascii="仿宋_GB2312" w:eastAsia="仿宋_GB2312"/>
          <w:sz w:val="32"/>
          <w:szCs w:val="32"/>
        </w:rPr>
      </w:pPr>
      <w:r>
        <w:rPr>
          <w:rFonts w:hint="eastAsia" w:ascii="仿宋_GB2312" w:eastAsia="仿宋_GB2312"/>
          <w:sz w:val="32"/>
          <w:szCs w:val="32"/>
        </w:rPr>
        <w:t>按照应急指挥机构指令，太仓市第三水厂及时减少取水或停止取水，及时启动液氯、高锰酸钾、粉末活性炭等投加装置。第三水厂（浏河水库备用水源）及时启动备用水源。</w:t>
      </w:r>
    </w:p>
    <w:p>
      <w:pPr>
        <w:pStyle w:val="7"/>
        <w:spacing w:line="560" w:lineRule="exact"/>
        <w:rPr>
          <w:rFonts w:ascii="仿宋_GB2312" w:eastAsia="仿宋_GB2312"/>
          <w:sz w:val="32"/>
          <w:szCs w:val="32"/>
        </w:rPr>
      </w:pPr>
      <w:r>
        <w:rPr>
          <w:rFonts w:hint="eastAsia" w:ascii="仿宋_GB2312" w:eastAsia="仿宋_GB2312"/>
          <w:sz w:val="32"/>
          <w:szCs w:val="32"/>
        </w:rPr>
        <w:t>3.5.1.5闸坝开启排放污水</w:t>
      </w:r>
    </w:p>
    <w:p>
      <w:pPr>
        <w:spacing w:line="560" w:lineRule="exact"/>
        <w:ind w:firstLine="640"/>
        <w:rPr>
          <w:rFonts w:ascii="仿宋_GB2312" w:eastAsia="仿宋_GB2312"/>
          <w:sz w:val="32"/>
          <w:szCs w:val="32"/>
        </w:rPr>
      </w:pPr>
      <w:r>
        <w:rPr>
          <w:rFonts w:hint="eastAsia" w:ascii="仿宋_GB2312" w:eastAsia="仿宋_GB2312"/>
          <w:sz w:val="32"/>
          <w:szCs w:val="32"/>
        </w:rPr>
        <w:t>（1）事件情景</w:t>
      </w:r>
    </w:p>
    <w:p>
      <w:pPr>
        <w:spacing w:line="560" w:lineRule="exact"/>
        <w:ind w:firstLine="640"/>
        <w:rPr>
          <w:rFonts w:ascii="仿宋_GB2312" w:eastAsia="仿宋_GB2312"/>
          <w:sz w:val="32"/>
          <w:szCs w:val="32"/>
        </w:rPr>
      </w:pPr>
      <w:r>
        <w:rPr>
          <w:rFonts w:hint="eastAsia" w:ascii="仿宋_GB2312" w:eastAsia="仿宋_GB2312"/>
          <w:sz w:val="32"/>
          <w:szCs w:val="32"/>
        </w:rPr>
        <w:t>浏河闸坝若全关闭禁航一段时间后，闸坝前水体污染物浓度升高，此时开闸放水，会污染浏河水源地。</w:t>
      </w:r>
    </w:p>
    <w:p>
      <w:pPr>
        <w:spacing w:line="560" w:lineRule="exact"/>
        <w:ind w:firstLine="640"/>
        <w:rPr>
          <w:rFonts w:ascii="仿宋_GB2312" w:eastAsia="仿宋_GB2312"/>
          <w:sz w:val="32"/>
          <w:szCs w:val="32"/>
        </w:rPr>
      </w:pPr>
      <w:r>
        <w:rPr>
          <w:rFonts w:hint="eastAsia" w:ascii="仿宋_GB2312" w:eastAsia="仿宋_GB2312"/>
          <w:sz w:val="32"/>
          <w:szCs w:val="32"/>
        </w:rPr>
        <w:t>（2）应急监测</w:t>
      </w:r>
    </w:p>
    <w:p>
      <w:pPr>
        <w:spacing w:line="560" w:lineRule="exact"/>
        <w:ind w:firstLine="640"/>
        <w:rPr>
          <w:rFonts w:ascii="仿宋_GB2312" w:eastAsia="仿宋_GB2312"/>
          <w:sz w:val="32"/>
          <w:szCs w:val="32"/>
        </w:rPr>
      </w:pPr>
      <w:r>
        <w:rPr>
          <w:rFonts w:hint="eastAsia" w:ascii="仿宋_GB2312" w:eastAsia="仿宋_GB2312"/>
          <w:sz w:val="32"/>
          <w:szCs w:val="32"/>
        </w:rPr>
        <w:t>开闸前应进行监测，在闸前河流横向和垂直向分别取水样进行监测，至少测定COD、pH、氨氮、总磷、高锰酸盐指数、DO等指标。根据水体物理性状适当增加监测指标。</w:t>
      </w:r>
    </w:p>
    <w:p>
      <w:pPr>
        <w:spacing w:line="560" w:lineRule="exact"/>
        <w:ind w:firstLine="640"/>
        <w:rPr>
          <w:rFonts w:ascii="仿宋_GB2312" w:eastAsia="仿宋_GB2312"/>
          <w:sz w:val="32"/>
          <w:szCs w:val="32"/>
        </w:rPr>
      </w:pPr>
      <w:r>
        <w:rPr>
          <w:rFonts w:hint="eastAsia" w:ascii="仿宋_GB2312" w:eastAsia="仿宋_GB2312"/>
          <w:sz w:val="32"/>
          <w:szCs w:val="32"/>
        </w:rPr>
        <w:t>如未监测违规排放闸前污水，则在河闸下游500m、1000m、浏河二级保护区边界、取水口等位置分别布设监测点位，至少测定COD、pH、氨氮、总磷、高锰酸盐指数、DO等指标。根据水体物理性状适当增加监测指标，并根据监测结果适时调整监测指标。</w:t>
      </w:r>
    </w:p>
    <w:p>
      <w:pPr>
        <w:spacing w:line="560" w:lineRule="exact"/>
        <w:ind w:firstLine="640"/>
        <w:rPr>
          <w:rFonts w:ascii="仿宋_GB2312" w:eastAsia="仿宋_GB2312"/>
          <w:sz w:val="32"/>
          <w:szCs w:val="32"/>
        </w:rPr>
      </w:pPr>
      <w:r>
        <w:rPr>
          <w:rFonts w:hint="eastAsia" w:ascii="仿宋_GB2312" w:eastAsia="仿宋_GB2312"/>
          <w:sz w:val="32"/>
          <w:szCs w:val="32"/>
        </w:rPr>
        <w:t>监测频次一般不低于每小时一次。</w:t>
      </w:r>
    </w:p>
    <w:p>
      <w:pPr>
        <w:spacing w:line="560" w:lineRule="exact"/>
        <w:ind w:firstLine="640"/>
        <w:rPr>
          <w:rFonts w:ascii="仿宋_GB2312" w:eastAsia="仿宋_GB2312"/>
          <w:sz w:val="32"/>
          <w:szCs w:val="32"/>
        </w:rPr>
      </w:pPr>
      <w:r>
        <w:rPr>
          <w:rFonts w:hint="eastAsia" w:ascii="仿宋_GB2312" w:eastAsia="仿宋_GB2312"/>
          <w:sz w:val="32"/>
          <w:szCs w:val="32"/>
        </w:rPr>
        <w:t>（3）污染物处置</w:t>
      </w:r>
    </w:p>
    <w:p>
      <w:pPr>
        <w:spacing w:line="560" w:lineRule="exact"/>
        <w:ind w:firstLine="640"/>
        <w:rPr>
          <w:rFonts w:ascii="仿宋_GB2312" w:eastAsia="仿宋_GB2312"/>
          <w:sz w:val="32"/>
          <w:szCs w:val="32"/>
        </w:rPr>
      </w:pPr>
      <w:r>
        <w:rPr>
          <w:rFonts w:hint="eastAsia" w:ascii="仿宋_GB2312" w:eastAsia="仿宋_GB2312"/>
          <w:sz w:val="32"/>
          <w:szCs w:val="32"/>
        </w:rPr>
        <w:t>根据现场监测数据，提出针对性处理方法。</w:t>
      </w:r>
    </w:p>
    <w:p>
      <w:pPr>
        <w:spacing w:line="560" w:lineRule="exact"/>
        <w:ind w:firstLine="640"/>
        <w:rPr>
          <w:rFonts w:ascii="仿宋_GB2312" w:eastAsia="仿宋_GB2312"/>
          <w:sz w:val="32"/>
          <w:szCs w:val="32"/>
        </w:rPr>
      </w:pPr>
      <w:r>
        <w:rPr>
          <w:rFonts w:hint="eastAsia" w:ascii="仿宋_GB2312" w:eastAsia="仿宋_GB2312"/>
          <w:sz w:val="32"/>
          <w:szCs w:val="32"/>
        </w:rPr>
        <w:t>（4）应急物资调集</w:t>
      </w:r>
    </w:p>
    <w:p>
      <w:pPr>
        <w:spacing w:line="560" w:lineRule="exact"/>
        <w:ind w:firstLine="640"/>
        <w:rPr>
          <w:rFonts w:ascii="仿宋_GB2312" w:eastAsia="仿宋_GB2312"/>
          <w:sz w:val="32"/>
          <w:szCs w:val="32"/>
        </w:rPr>
      </w:pPr>
      <w:r>
        <w:rPr>
          <w:rFonts w:hint="eastAsia" w:ascii="仿宋_GB2312" w:eastAsia="仿宋_GB2312"/>
          <w:sz w:val="32"/>
          <w:szCs w:val="32"/>
        </w:rPr>
        <w:t>根据现场污染情况确定需用应急物资。</w:t>
      </w:r>
    </w:p>
    <w:p>
      <w:pPr>
        <w:spacing w:line="560" w:lineRule="exact"/>
        <w:ind w:firstLine="640"/>
        <w:rPr>
          <w:rFonts w:ascii="仿宋_GB2312" w:eastAsia="仿宋_GB2312"/>
          <w:sz w:val="32"/>
          <w:szCs w:val="32"/>
        </w:rPr>
      </w:pPr>
      <w:r>
        <w:rPr>
          <w:rFonts w:hint="eastAsia" w:ascii="仿宋_GB2312" w:eastAsia="仿宋_GB2312"/>
          <w:sz w:val="32"/>
          <w:szCs w:val="32"/>
        </w:rPr>
        <w:t>（5）应急队伍和人员安排</w:t>
      </w:r>
    </w:p>
    <w:p>
      <w:pPr>
        <w:spacing w:line="560" w:lineRule="exact"/>
        <w:ind w:firstLine="640"/>
        <w:rPr>
          <w:rFonts w:ascii="仿宋_GB2312" w:eastAsia="仿宋_GB2312"/>
          <w:sz w:val="32"/>
          <w:szCs w:val="32"/>
        </w:rPr>
      </w:pPr>
      <w:r>
        <w:rPr>
          <w:rFonts w:hint="eastAsia" w:ascii="仿宋_GB2312" w:eastAsia="仿宋_GB2312"/>
          <w:sz w:val="32"/>
          <w:szCs w:val="32"/>
        </w:rPr>
        <w:t>按照既定应急指挥机构和应急工作组组织应急队伍，需要应急处置组进行污染物处置。</w:t>
      </w:r>
    </w:p>
    <w:p>
      <w:pPr>
        <w:spacing w:line="560" w:lineRule="exact"/>
        <w:ind w:firstLine="640"/>
        <w:rPr>
          <w:rFonts w:ascii="仿宋_GB2312" w:eastAsia="仿宋_GB2312"/>
          <w:sz w:val="32"/>
          <w:szCs w:val="32"/>
        </w:rPr>
      </w:pPr>
      <w:r>
        <w:rPr>
          <w:rFonts w:hint="eastAsia" w:ascii="仿宋_GB2312" w:eastAsia="仿宋_GB2312"/>
          <w:sz w:val="32"/>
          <w:szCs w:val="32"/>
        </w:rPr>
        <w:t>应急监测组应急监测各断面。</w:t>
      </w:r>
    </w:p>
    <w:p>
      <w:pPr>
        <w:spacing w:line="560" w:lineRule="exact"/>
        <w:ind w:firstLine="640"/>
        <w:rPr>
          <w:rFonts w:ascii="仿宋_GB2312" w:eastAsia="仿宋_GB2312"/>
          <w:sz w:val="32"/>
          <w:szCs w:val="32"/>
        </w:rPr>
      </w:pPr>
      <w:r>
        <w:rPr>
          <w:rFonts w:hint="eastAsia" w:ascii="仿宋_GB2312" w:eastAsia="仿宋_GB2312"/>
          <w:sz w:val="32"/>
          <w:szCs w:val="32"/>
        </w:rPr>
        <w:t>应急供水保障组确保供水单位的应对措施及时到位，并根据情况及时启动备用水源等。</w:t>
      </w:r>
    </w:p>
    <w:p>
      <w:pPr>
        <w:spacing w:line="560" w:lineRule="exact"/>
        <w:ind w:firstLine="640"/>
        <w:rPr>
          <w:rFonts w:ascii="仿宋_GB2312" w:eastAsia="仿宋_GB2312"/>
          <w:sz w:val="32"/>
          <w:szCs w:val="32"/>
        </w:rPr>
      </w:pPr>
      <w:r>
        <w:rPr>
          <w:rFonts w:hint="eastAsia" w:ascii="仿宋_GB2312" w:eastAsia="仿宋_GB2312"/>
          <w:sz w:val="32"/>
          <w:szCs w:val="32"/>
        </w:rPr>
        <w:t>应急物资供应组确保物资及时到位。</w:t>
      </w:r>
    </w:p>
    <w:p>
      <w:pPr>
        <w:spacing w:line="560" w:lineRule="exact"/>
        <w:ind w:firstLine="640"/>
        <w:rPr>
          <w:rFonts w:ascii="仿宋_GB2312" w:eastAsia="仿宋_GB2312"/>
          <w:sz w:val="32"/>
          <w:szCs w:val="32"/>
        </w:rPr>
      </w:pPr>
      <w:r>
        <w:rPr>
          <w:rFonts w:hint="eastAsia" w:ascii="仿宋_GB2312" w:eastAsia="仿宋_GB2312"/>
          <w:sz w:val="32"/>
          <w:szCs w:val="32"/>
        </w:rPr>
        <w:t>应急专家组及时准确研判事态，提供技术力量。</w:t>
      </w:r>
    </w:p>
    <w:p>
      <w:pPr>
        <w:spacing w:line="560" w:lineRule="exact"/>
        <w:ind w:firstLine="640"/>
        <w:rPr>
          <w:rFonts w:ascii="仿宋_GB2312" w:eastAsia="仿宋_GB2312"/>
          <w:sz w:val="32"/>
          <w:szCs w:val="32"/>
        </w:rPr>
      </w:pPr>
      <w:r>
        <w:rPr>
          <w:rFonts w:hint="eastAsia" w:ascii="仿宋_GB2312" w:eastAsia="仿宋_GB2312"/>
          <w:sz w:val="32"/>
          <w:szCs w:val="32"/>
        </w:rPr>
        <w:t>（6）供水单位应对</w:t>
      </w:r>
    </w:p>
    <w:p>
      <w:pPr>
        <w:spacing w:line="560" w:lineRule="exact"/>
        <w:ind w:firstLine="640"/>
        <w:rPr>
          <w:rFonts w:ascii="仿宋_GB2312" w:eastAsia="仿宋_GB2312"/>
          <w:sz w:val="32"/>
          <w:szCs w:val="32"/>
        </w:rPr>
      </w:pPr>
      <w:r>
        <w:rPr>
          <w:rFonts w:hint="eastAsia" w:ascii="仿宋_GB2312" w:eastAsia="仿宋_GB2312"/>
          <w:sz w:val="32"/>
          <w:szCs w:val="32"/>
        </w:rPr>
        <w:t>按照应急指挥机构指令，太仓市第三水厂及时减少取水或停止取水，及时启动液氯、高锰酸钾、粉末活性炭等投加装置。第三水厂（浏河水库备用水源）及时启动备用水源。</w:t>
      </w:r>
    </w:p>
    <w:p>
      <w:pPr>
        <w:pStyle w:val="5"/>
        <w:spacing w:before="156" w:after="156" w:line="560" w:lineRule="exact"/>
        <w:rPr>
          <w:rFonts w:ascii="楷体" w:hAnsi="楷体" w:eastAsia="楷体"/>
          <w:b w:val="0"/>
          <w:sz w:val="32"/>
          <w:szCs w:val="32"/>
        </w:rPr>
      </w:pPr>
      <w:bookmarkStart w:id="87" w:name="_Toc44927240"/>
      <w:r>
        <w:rPr>
          <w:rFonts w:hint="eastAsia" w:ascii="楷体" w:hAnsi="楷体" w:eastAsia="楷体"/>
          <w:b w:val="0"/>
          <w:sz w:val="32"/>
          <w:szCs w:val="32"/>
        </w:rPr>
        <w:t>3.6物资调集及应急设施启用</w:t>
      </w:r>
      <w:bookmarkEnd w:id="87"/>
    </w:p>
    <w:p>
      <w:pPr>
        <w:spacing w:line="560" w:lineRule="exact"/>
        <w:ind w:firstLine="640"/>
        <w:rPr>
          <w:rFonts w:ascii="仿宋_GB2312" w:eastAsia="仿宋_GB2312"/>
          <w:sz w:val="32"/>
          <w:szCs w:val="32"/>
        </w:rPr>
      </w:pPr>
      <w:r>
        <w:rPr>
          <w:rFonts w:hint="eastAsia" w:ascii="仿宋_GB2312" w:eastAsia="仿宋_GB2312"/>
          <w:sz w:val="32"/>
          <w:szCs w:val="32"/>
        </w:rPr>
        <w:t>由应急物资保障组协调物资调集、应急设施启用。</w:t>
      </w:r>
    </w:p>
    <w:p>
      <w:pPr>
        <w:spacing w:line="560" w:lineRule="exact"/>
        <w:ind w:firstLine="640"/>
        <w:rPr>
          <w:rFonts w:ascii="仿宋_GB2312" w:eastAsia="仿宋_GB2312"/>
          <w:sz w:val="32"/>
          <w:szCs w:val="32"/>
        </w:rPr>
      </w:pPr>
      <w:r>
        <w:rPr>
          <w:rFonts w:hint="eastAsia" w:ascii="仿宋_GB2312" w:eastAsia="仿宋_GB2312"/>
          <w:sz w:val="32"/>
          <w:szCs w:val="32"/>
        </w:rPr>
        <w:t>根据应急物资调查结果，列明了可用的应急物资、装备和设施清单。</w:t>
      </w:r>
    </w:p>
    <w:p>
      <w:pPr>
        <w:spacing w:line="560" w:lineRule="exact"/>
        <w:ind w:firstLine="640"/>
        <w:rPr>
          <w:rFonts w:ascii="仿宋_GB2312" w:eastAsia="仿宋_GB2312"/>
          <w:sz w:val="32"/>
          <w:szCs w:val="32"/>
        </w:rPr>
      </w:pPr>
      <w:r>
        <w:rPr>
          <w:rFonts w:hint="eastAsia" w:ascii="仿宋_GB2312" w:eastAsia="仿宋_GB2312"/>
          <w:sz w:val="32"/>
          <w:szCs w:val="32"/>
        </w:rPr>
        <w:t>启动程序见3.5章节现场处置方案内容。</w:t>
      </w:r>
    </w:p>
    <w:p>
      <w:pPr>
        <w:pStyle w:val="5"/>
        <w:spacing w:before="156" w:after="156" w:line="560" w:lineRule="exact"/>
        <w:rPr>
          <w:rFonts w:ascii="楷体" w:hAnsi="楷体" w:eastAsia="楷体"/>
          <w:b w:val="0"/>
          <w:sz w:val="32"/>
          <w:szCs w:val="32"/>
        </w:rPr>
      </w:pPr>
      <w:bookmarkStart w:id="88" w:name="_Toc44927241"/>
      <w:r>
        <w:rPr>
          <w:rFonts w:hint="eastAsia" w:ascii="楷体" w:hAnsi="楷体" w:eastAsia="楷体"/>
          <w:b w:val="0"/>
          <w:sz w:val="32"/>
          <w:szCs w:val="32"/>
        </w:rPr>
        <w:t>3.7舆情监测与信息发布</w:t>
      </w:r>
      <w:bookmarkEnd w:id="88"/>
    </w:p>
    <w:p>
      <w:pPr>
        <w:spacing w:line="560" w:lineRule="exact"/>
        <w:ind w:firstLine="640"/>
        <w:rPr>
          <w:rFonts w:ascii="仿宋_GB2312" w:eastAsia="仿宋_GB2312"/>
          <w:sz w:val="32"/>
          <w:szCs w:val="32"/>
        </w:rPr>
      </w:pPr>
      <w:r>
        <w:rPr>
          <w:rFonts w:hint="eastAsia" w:ascii="仿宋_GB2312" w:eastAsia="仿宋_GB2312"/>
          <w:sz w:val="32"/>
          <w:szCs w:val="32"/>
        </w:rPr>
        <w:t>现场应急指挥部在突发环境事件发生后，由宣传部第一时间通过电视、网络、短信等媒体向社会发布事件信息，并针对舆情及时发布事件原因、影响区域、已采取的措施及成效、公众注意的防范措施、热线电话等。</w:t>
      </w:r>
    </w:p>
    <w:p>
      <w:pPr>
        <w:pStyle w:val="5"/>
        <w:spacing w:before="156" w:after="156" w:line="560" w:lineRule="exact"/>
        <w:rPr>
          <w:rFonts w:ascii="楷体" w:hAnsi="楷体" w:eastAsia="楷体"/>
          <w:b w:val="0"/>
          <w:sz w:val="32"/>
          <w:szCs w:val="32"/>
        </w:rPr>
      </w:pPr>
      <w:bookmarkStart w:id="89" w:name="_Toc44927242"/>
      <w:r>
        <w:rPr>
          <w:rFonts w:hint="eastAsia" w:ascii="楷体" w:hAnsi="楷体" w:eastAsia="楷体"/>
          <w:b w:val="0"/>
          <w:sz w:val="32"/>
          <w:szCs w:val="32"/>
        </w:rPr>
        <w:t>3.8响应终止</w:t>
      </w:r>
      <w:bookmarkEnd w:id="89"/>
    </w:p>
    <w:p>
      <w:pPr>
        <w:spacing w:line="560" w:lineRule="exact"/>
        <w:ind w:firstLine="640"/>
        <w:rPr>
          <w:rFonts w:ascii="仿宋_GB2312" w:eastAsia="仿宋_GB2312"/>
          <w:sz w:val="32"/>
          <w:szCs w:val="32"/>
        </w:rPr>
      </w:pPr>
      <w:r>
        <w:rPr>
          <w:rFonts w:hint="eastAsia" w:ascii="仿宋_GB2312" w:eastAsia="仿宋_GB2312"/>
          <w:sz w:val="32"/>
          <w:szCs w:val="32"/>
        </w:rPr>
        <w:t>当符合下列情形之一的，由现场应急指挥部提出终止建议，应急组织指挥机构批准，可终止应急响应。宣传部及时通过电视、网络、短信等向社会发布应急响应终止信息。</w:t>
      </w:r>
    </w:p>
    <w:p>
      <w:pPr>
        <w:spacing w:line="560" w:lineRule="exact"/>
        <w:ind w:firstLine="640"/>
        <w:rPr>
          <w:rFonts w:ascii="仿宋_GB2312" w:eastAsia="仿宋_GB2312"/>
          <w:sz w:val="32"/>
          <w:szCs w:val="32"/>
        </w:rPr>
      </w:pPr>
      <w:r>
        <w:rPr>
          <w:rFonts w:hint="eastAsia" w:ascii="仿宋_GB2312" w:eastAsia="仿宋_GB2312"/>
          <w:sz w:val="32"/>
          <w:szCs w:val="32"/>
        </w:rPr>
        <w:t>1、进入水源保护区陆域范围的污染物已成功围堵，且清运至水源保护区外，未向水域扩散时。</w:t>
      </w:r>
    </w:p>
    <w:p>
      <w:pPr>
        <w:spacing w:line="560" w:lineRule="exact"/>
        <w:ind w:firstLine="640"/>
        <w:rPr>
          <w:rFonts w:ascii="仿宋_GB2312" w:eastAsia="仿宋_GB2312"/>
          <w:sz w:val="32"/>
          <w:szCs w:val="32"/>
        </w:rPr>
      </w:pPr>
      <w:r>
        <w:rPr>
          <w:rFonts w:hint="eastAsia" w:ascii="仿宋_GB2312" w:eastAsia="仿宋_GB2312"/>
          <w:sz w:val="32"/>
          <w:szCs w:val="32"/>
        </w:rPr>
        <w:t>2、进入水源保护区水域范围的污染团已成功拦截或导流至水源保护区外，没有向取水口扩散的风险，且水质监测结果稳定达标。</w:t>
      </w:r>
    </w:p>
    <w:p>
      <w:pPr>
        <w:spacing w:line="560" w:lineRule="exact"/>
        <w:ind w:firstLine="640"/>
        <w:rPr>
          <w:rFonts w:ascii="仿宋_GB2312" w:eastAsia="仿宋_GB2312"/>
          <w:b/>
          <w:sz w:val="32"/>
          <w:szCs w:val="32"/>
        </w:rPr>
      </w:pPr>
      <w:r>
        <w:rPr>
          <w:rFonts w:hint="eastAsia" w:ascii="仿宋_GB2312" w:eastAsia="仿宋_GB2312"/>
          <w:sz w:val="32"/>
          <w:szCs w:val="32"/>
        </w:rPr>
        <w:t>3、水质监测结果尚未稳定达标，但根据应急专家组建议可恢复正常取水时。</w:t>
      </w:r>
    </w:p>
    <w:sectPr>
      <w:headerReference r:id="rId11" w:type="default"/>
      <w:type w:val="oddPage"/>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EC8747-C194-4119-826E-7D396D5D74A0}"/>
  </w:font>
  <w:font w:name="Arial">
    <w:panose1 w:val="020B0604020202020204"/>
    <w:charset w:val="01"/>
    <w:family w:val="swiss"/>
    <w:pitch w:val="default"/>
    <w:sig w:usb0="E0002EFF" w:usb1="C000785B" w:usb2="00000009" w:usb3="00000000" w:csb0="400001FF" w:csb1="FFFF0000"/>
    <w:embedRegular r:id="rId2" w:fontKey="{21708579-EF92-4F13-879C-D314833625B8}"/>
  </w:font>
  <w:font w:name="黑体">
    <w:panose1 w:val="02010609060101010101"/>
    <w:charset w:val="86"/>
    <w:family w:val="auto"/>
    <w:pitch w:val="default"/>
    <w:sig w:usb0="800002BF" w:usb1="38CF7CFA" w:usb2="00000016" w:usb3="00000000" w:csb0="00040001" w:csb1="00000000"/>
    <w:embedRegular r:id="rId3" w:fontKey="{C3297ABE-CF64-4BA0-9B47-C634DF1862E4}"/>
  </w:font>
  <w:font w:name="Courier New">
    <w:panose1 w:val="02070309020205020404"/>
    <w:charset w:val="01"/>
    <w:family w:val="modern"/>
    <w:pitch w:val="default"/>
    <w:sig w:usb0="E0002EFF" w:usb1="C0007843" w:usb2="00000009" w:usb3="00000000" w:csb0="400001FF" w:csb1="FFFF0000"/>
    <w:embedRegular r:id="rId4" w:fontKey="{8724540B-DC97-4E8B-A555-C0AE9FD86BD1}"/>
  </w:font>
  <w:font w:name="Symbol">
    <w:panose1 w:val="05050102010706020507"/>
    <w:charset w:val="02"/>
    <w:family w:val="roman"/>
    <w:pitch w:val="default"/>
    <w:sig w:usb0="00000000" w:usb1="00000000" w:usb2="00000000" w:usb3="00000000" w:csb0="80000000" w:csb1="00000000"/>
    <w:embedRegular r:id="rId5" w:fontKey="{4A6447BC-3A48-49B1-8925-F28E3B078478}"/>
  </w:font>
  <w:font w:name="Calibri">
    <w:panose1 w:val="020F0502020204030204"/>
    <w:charset w:val="00"/>
    <w:family w:val="swiss"/>
    <w:pitch w:val="default"/>
    <w:sig w:usb0="E4002EFF" w:usb1="C000247B" w:usb2="00000009" w:usb3="00000000" w:csb0="200001FF" w:csb1="00000000"/>
    <w:embedRegular r:id="rId6" w:fontKey="{BB65437C-F41D-47F7-9DE8-573E723E2E3E}"/>
  </w:font>
  <w:font w:name="仿宋">
    <w:panose1 w:val="02010609060101010101"/>
    <w:charset w:val="86"/>
    <w:family w:val="modern"/>
    <w:pitch w:val="default"/>
    <w:sig w:usb0="800002BF" w:usb1="38CF7CFA" w:usb2="00000016" w:usb3="00000000" w:csb0="00040001" w:csb1="00000000"/>
    <w:embedRegular r:id="rId7" w:fontKey="{272B713F-12D4-46EF-8212-B93BB0991924}"/>
  </w:font>
  <w:font w:name="Arial">
    <w:panose1 w:val="020B0604020202020204"/>
    <w:charset w:val="00"/>
    <w:family w:val="swiss"/>
    <w:pitch w:val="default"/>
    <w:sig w:usb0="E0002EFF" w:usb1="C000785B" w:usb2="00000009" w:usb3="00000000" w:csb0="400001FF" w:csb1="FFFF0000"/>
    <w:embedRegular r:id="rId8" w:fontKey="{C9C952B1-F7D4-490E-9813-2B07FE34C927}"/>
  </w:font>
  <w:font w:name="仿宋_GB2312">
    <w:panose1 w:val="02010609030101010101"/>
    <w:charset w:val="86"/>
    <w:family w:val="modern"/>
    <w:pitch w:val="default"/>
    <w:sig w:usb0="00000000" w:usb1="00000000" w:usb2="00000000" w:usb3="00000000" w:csb0="00000000" w:csb1="00000000"/>
    <w:embedRegular r:id="rId9" w:fontKey="{EEF4967C-A67A-48AE-AB71-629C1F4BC9A3}"/>
  </w:font>
  <w:font w:name="Cambria">
    <w:panose1 w:val="02040503050406030204"/>
    <w:charset w:val="00"/>
    <w:family w:val="roman"/>
    <w:pitch w:val="default"/>
    <w:sig w:usb0="E00006FF" w:usb1="420024FF" w:usb2="02000000" w:usb3="00000000" w:csb0="2000019F" w:csb1="00000000"/>
    <w:embedRegular r:id="rId10" w:fontKey="{DE7F3639-845C-4204-B94A-4961753DCC26}"/>
  </w:font>
  <w:font w:name="方正小标宋简体">
    <w:panose1 w:val="03000509000000000000"/>
    <w:charset w:val="86"/>
    <w:family w:val="script"/>
    <w:pitch w:val="default"/>
    <w:sig w:usb0="00000000" w:usb1="00000000" w:usb2="00000000" w:usb3="00000000" w:csb0="00000000" w:csb1="00000000"/>
    <w:embedRegular r:id="rId11" w:fontKey="{9DAA69B9-BA49-4938-8806-EE57F23C69B2}"/>
  </w:font>
  <w:font w:name="楷体_GB2312">
    <w:altName w:val="楷体"/>
    <w:panose1 w:val="00000000000000000000"/>
    <w:charset w:val="86"/>
    <w:family w:val="modern"/>
    <w:pitch w:val="default"/>
    <w:sig w:usb0="00000000" w:usb1="00000000" w:usb2="00000010" w:usb3="00000000" w:csb0="00040000" w:csb1="00000000"/>
    <w:embedRegular r:id="rId12" w:fontKey="{A93E98CF-1DF1-46E1-9220-5F2473DA5BDA}"/>
  </w:font>
  <w:font w:name="楷体">
    <w:panose1 w:val="02010609060101010101"/>
    <w:charset w:val="86"/>
    <w:family w:val="modern"/>
    <w:pitch w:val="default"/>
    <w:sig w:usb0="800002BF" w:usb1="38CF7CFA" w:usb2="00000016" w:usb3="00000000" w:csb0="00040001" w:csb1="00000000"/>
    <w:embedRegular r:id="rId13" w:fontKey="{922ECF21-C4D1-4BF4-BFCD-B2FA9C2F14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4300271"/>
      <w:docPartObj>
        <w:docPartGallery w:val="AutoText"/>
      </w:docPartObj>
    </w:sdtPr>
    <w:sdtContent>
      <w:p>
        <w:pPr>
          <w:pStyle w:val="15"/>
          <w:ind w:firstLine="360"/>
          <w:jc w:val="center"/>
        </w:pPr>
        <w:r>
          <w:fldChar w:fldCharType="begin"/>
        </w:r>
        <w:r>
          <w:instrText xml:space="preserve">PAGE   \* MERGEFORMAT</w:instrText>
        </w:r>
        <w:r>
          <w:fldChar w:fldCharType="separate"/>
        </w:r>
        <w:r>
          <w:rPr>
            <w:lang w:val="zh-CN"/>
          </w:rPr>
          <w:t>26</w:t>
        </w:r>
        <w:r>
          <w:fldChar w:fldCharType="end"/>
        </w:r>
      </w:p>
    </w:sdtContent>
  </w:sdt>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bookmarkStart w:id="90" w:name="_GoBack"/>
    <w:bookmarkEnd w:id="9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EEB"/>
    <w:rsid w:val="00007683"/>
    <w:rsid w:val="000119E7"/>
    <w:rsid w:val="00013376"/>
    <w:rsid w:val="00017FF5"/>
    <w:rsid w:val="00027941"/>
    <w:rsid w:val="000310EB"/>
    <w:rsid w:val="000462FF"/>
    <w:rsid w:val="00046A24"/>
    <w:rsid w:val="00052102"/>
    <w:rsid w:val="00062E0B"/>
    <w:rsid w:val="00065676"/>
    <w:rsid w:val="00067595"/>
    <w:rsid w:val="00073A3B"/>
    <w:rsid w:val="00073DA6"/>
    <w:rsid w:val="00076217"/>
    <w:rsid w:val="00077F4B"/>
    <w:rsid w:val="0008236D"/>
    <w:rsid w:val="0008469F"/>
    <w:rsid w:val="00092B02"/>
    <w:rsid w:val="00095D6B"/>
    <w:rsid w:val="000A638D"/>
    <w:rsid w:val="000B7D71"/>
    <w:rsid w:val="000D354B"/>
    <w:rsid w:val="000E4E4B"/>
    <w:rsid w:val="000E620E"/>
    <w:rsid w:val="000E62B2"/>
    <w:rsid w:val="000F0A7A"/>
    <w:rsid w:val="000F2387"/>
    <w:rsid w:val="000F406A"/>
    <w:rsid w:val="000F773F"/>
    <w:rsid w:val="001055FF"/>
    <w:rsid w:val="00114761"/>
    <w:rsid w:val="00115852"/>
    <w:rsid w:val="00122863"/>
    <w:rsid w:val="001270E1"/>
    <w:rsid w:val="00127DE7"/>
    <w:rsid w:val="00130151"/>
    <w:rsid w:val="00132350"/>
    <w:rsid w:val="00136BC0"/>
    <w:rsid w:val="00145B7D"/>
    <w:rsid w:val="00153887"/>
    <w:rsid w:val="00155DF5"/>
    <w:rsid w:val="0015607A"/>
    <w:rsid w:val="0015730B"/>
    <w:rsid w:val="0016279F"/>
    <w:rsid w:val="00163ED0"/>
    <w:rsid w:val="00164E2A"/>
    <w:rsid w:val="00166CA2"/>
    <w:rsid w:val="00167416"/>
    <w:rsid w:val="00175C89"/>
    <w:rsid w:val="00180C87"/>
    <w:rsid w:val="001824FC"/>
    <w:rsid w:val="00184A18"/>
    <w:rsid w:val="001932C3"/>
    <w:rsid w:val="00196226"/>
    <w:rsid w:val="001A3E30"/>
    <w:rsid w:val="001A57E5"/>
    <w:rsid w:val="001B28A1"/>
    <w:rsid w:val="001B6275"/>
    <w:rsid w:val="001B7805"/>
    <w:rsid w:val="001D3B41"/>
    <w:rsid w:val="001E0A98"/>
    <w:rsid w:val="001E128D"/>
    <w:rsid w:val="001E13D4"/>
    <w:rsid w:val="001E780F"/>
    <w:rsid w:val="002109DD"/>
    <w:rsid w:val="00211F0C"/>
    <w:rsid w:val="002152F4"/>
    <w:rsid w:val="00221234"/>
    <w:rsid w:val="00223466"/>
    <w:rsid w:val="00225117"/>
    <w:rsid w:val="002308F3"/>
    <w:rsid w:val="002320E2"/>
    <w:rsid w:val="0023258F"/>
    <w:rsid w:val="00242518"/>
    <w:rsid w:val="002708F5"/>
    <w:rsid w:val="002841CC"/>
    <w:rsid w:val="002A424B"/>
    <w:rsid w:val="002A43CE"/>
    <w:rsid w:val="002B028C"/>
    <w:rsid w:val="002B4DB4"/>
    <w:rsid w:val="002C1205"/>
    <w:rsid w:val="002C1D5E"/>
    <w:rsid w:val="002D03C6"/>
    <w:rsid w:val="002D043A"/>
    <w:rsid w:val="002D06A0"/>
    <w:rsid w:val="002D434C"/>
    <w:rsid w:val="002D4E8D"/>
    <w:rsid w:val="002D6A7D"/>
    <w:rsid w:val="002E2768"/>
    <w:rsid w:val="002E6CA9"/>
    <w:rsid w:val="002F251E"/>
    <w:rsid w:val="00300452"/>
    <w:rsid w:val="003034DB"/>
    <w:rsid w:val="00310246"/>
    <w:rsid w:val="00324851"/>
    <w:rsid w:val="00327373"/>
    <w:rsid w:val="0033214A"/>
    <w:rsid w:val="00333AAA"/>
    <w:rsid w:val="00335661"/>
    <w:rsid w:val="00341556"/>
    <w:rsid w:val="00347833"/>
    <w:rsid w:val="003521A6"/>
    <w:rsid w:val="0035426C"/>
    <w:rsid w:val="0036226B"/>
    <w:rsid w:val="003721A3"/>
    <w:rsid w:val="003721F6"/>
    <w:rsid w:val="00384BAC"/>
    <w:rsid w:val="00384CFE"/>
    <w:rsid w:val="00387B83"/>
    <w:rsid w:val="003978BD"/>
    <w:rsid w:val="003A0638"/>
    <w:rsid w:val="003A7625"/>
    <w:rsid w:val="003B14EB"/>
    <w:rsid w:val="003B6664"/>
    <w:rsid w:val="003B73B7"/>
    <w:rsid w:val="003C058B"/>
    <w:rsid w:val="003D3423"/>
    <w:rsid w:val="003D422C"/>
    <w:rsid w:val="003E2A74"/>
    <w:rsid w:val="003E38EC"/>
    <w:rsid w:val="003E3ED6"/>
    <w:rsid w:val="003E7C8C"/>
    <w:rsid w:val="003F6293"/>
    <w:rsid w:val="003F731E"/>
    <w:rsid w:val="00400E0C"/>
    <w:rsid w:val="00403077"/>
    <w:rsid w:val="004112F6"/>
    <w:rsid w:val="004127C8"/>
    <w:rsid w:val="00413CF3"/>
    <w:rsid w:val="0042338A"/>
    <w:rsid w:val="0042465F"/>
    <w:rsid w:val="00425E83"/>
    <w:rsid w:val="004337DF"/>
    <w:rsid w:val="00434E80"/>
    <w:rsid w:val="00440DB1"/>
    <w:rsid w:val="00442525"/>
    <w:rsid w:val="00444194"/>
    <w:rsid w:val="00451677"/>
    <w:rsid w:val="0045275C"/>
    <w:rsid w:val="00460AE6"/>
    <w:rsid w:val="00461A6F"/>
    <w:rsid w:val="0046314C"/>
    <w:rsid w:val="004657EA"/>
    <w:rsid w:val="00465A24"/>
    <w:rsid w:val="004900F4"/>
    <w:rsid w:val="00491E39"/>
    <w:rsid w:val="0049677A"/>
    <w:rsid w:val="004A1AE9"/>
    <w:rsid w:val="004A3046"/>
    <w:rsid w:val="004B0EEB"/>
    <w:rsid w:val="004C4AED"/>
    <w:rsid w:val="004D52DF"/>
    <w:rsid w:val="004E0B88"/>
    <w:rsid w:val="004F00AA"/>
    <w:rsid w:val="004F17D7"/>
    <w:rsid w:val="004F60ED"/>
    <w:rsid w:val="004F61BC"/>
    <w:rsid w:val="004F7AE8"/>
    <w:rsid w:val="005136A6"/>
    <w:rsid w:val="005353AF"/>
    <w:rsid w:val="0054013E"/>
    <w:rsid w:val="005420DB"/>
    <w:rsid w:val="005430F6"/>
    <w:rsid w:val="00544334"/>
    <w:rsid w:val="00546E80"/>
    <w:rsid w:val="0055114C"/>
    <w:rsid w:val="005535A2"/>
    <w:rsid w:val="00554C05"/>
    <w:rsid w:val="005654BE"/>
    <w:rsid w:val="0056593C"/>
    <w:rsid w:val="005716FF"/>
    <w:rsid w:val="00573E06"/>
    <w:rsid w:val="005854CE"/>
    <w:rsid w:val="00585AA3"/>
    <w:rsid w:val="00597409"/>
    <w:rsid w:val="00597A4C"/>
    <w:rsid w:val="005A44BE"/>
    <w:rsid w:val="005B22E1"/>
    <w:rsid w:val="005C000D"/>
    <w:rsid w:val="005C5088"/>
    <w:rsid w:val="005D22D2"/>
    <w:rsid w:val="005D2349"/>
    <w:rsid w:val="005D32B0"/>
    <w:rsid w:val="005D7825"/>
    <w:rsid w:val="005E5DB8"/>
    <w:rsid w:val="005F5B3F"/>
    <w:rsid w:val="005F64A6"/>
    <w:rsid w:val="0060590B"/>
    <w:rsid w:val="00605CF1"/>
    <w:rsid w:val="00606454"/>
    <w:rsid w:val="006107E0"/>
    <w:rsid w:val="0061269A"/>
    <w:rsid w:val="00612E65"/>
    <w:rsid w:val="00614BD2"/>
    <w:rsid w:val="00616879"/>
    <w:rsid w:val="00621C21"/>
    <w:rsid w:val="0062422B"/>
    <w:rsid w:val="00626D97"/>
    <w:rsid w:val="00636938"/>
    <w:rsid w:val="00640722"/>
    <w:rsid w:val="0065253E"/>
    <w:rsid w:val="0066360F"/>
    <w:rsid w:val="0066735C"/>
    <w:rsid w:val="006722F2"/>
    <w:rsid w:val="006749F2"/>
    <w:rsid w:val="00683615"/>
    <w:rsid w:val="006921FD"/>
    <w:rsid w:val="0069661D"/>
    <w:rsid w:val="00697F8B"/>
    <w:rsid w:val="006B1652"/>
    <w:rsid w:val="006B16C1"/>
    <w:rsid w:val="006B37C0"/>
    <w:rsid w:val="006B560D"/>
    <w:rsid w:val="006B6104"/>
    <w:rsid w:val="006B6970"/>
    <w:rsid w:val="006B6F02"/>
    <w:rsid w:val="006C2955"/>
    <w:rsid w:val="006C35BF"/>
    <w:rsid w:val="006C467A"/>
    <w:rsid w:val="006C5A2C"/>
    <w:rsid w:val="006C72FB"/>
    <w:rsid w:val="006D1F8A"/>
    <w:rsid w:val="006D3029"/>
    <w:rsid w:val="006D432F"/>
    <w:rsid w:val="006D491C"/>
    <w:rsid w:val="006D4EB4"/>
    <w:rsid w:val="006D79DF"/>
    <w:rsid w:val="006F1A98"/>
    <w:rsid w:val="007033D2"/>
    <w:rsid w:val="0070374A"/>
    <w:rsid w:val="00713BE7"/>
    <w:rsid w:val="007164E0"/>
    <w:rsid w:val="0072772B"/>
    <w:rsid w:val="00733767"/>
    <w:rsid w:val="0073434C"/>
    <w:rsid w:val="00734709"/>
    <w:rsid w:val="0073562D"/>
    <w:rsid w:val="00736A73"/>
    <w:rsid w:val="00736B09"/>
    <w:rsid w:val="00737697"/>
    <w:rsid w:val="007423D6"/>
    <w:rsid w:val="00743E24"/>
    <w:rsid w:val="00750116"/>
    <w:rsid w:val="007503A2"/>
    <w:rsid w:val="007506DE"/>
    <w:rsid w:val="007559BE"/>
    <w:rsid w:val="00756B8E"/>
    <w:rsid w:val="00756E28"/>
    <w:rsid w:val="0076241D"/>
    <w:rsid w:val="00763A66"/>
    <w:rsid w:val="0077580F"/>
    <w:rsid w:val="007808E1"/>
    <w:rsid w:val="00781175"/>
    <w:rsid w:val="007846A2"/>
    <w:rsid w:val="00786D7E"/>
    <w:rsid w:val="00791236"/>
    <w:rsid w:val="0079283E"/>
    <w:rsid w:val="00793B63"/>
    <w:rsid w:val="00795A5D"/>
    <w:rsid w:val="007A1E27"/>
    <w:rsid w:val="007A4935"/>
    <w:rsid w:val="007B1E20"/>
    <w:rsid w:val="007B5E35"/>
    <w:rsid w:val="007B65B5"/>
    <w:rsid w:val="007C1537"/>
    <w:rsid w:val="007C2BC0"/>
    <w:rsid w:val="007C76C5"/>
    <w:rsid w:val="007D0732"/>
    <w:rsid w:val="007D570F"/>
    <w:rsid w:val="007D5E39"/>
    <w:rsid w:val="007E70D0"/>
    <w:rsid w:val="007F7084"/>
    <w:rsid w:val="0080311F"/>
    <w:rsid w:val="00803758"/>
    <w:rsid w:val="00806408"/>
    <w:rsid w:val="00816CB6"/>
    <w:rsid w:val="008220B9"/>
    <w:rsid w:val="00826445"/>
    <w:rsid w:val="00827A4B"/>
    <w:rsid w:val="008305DC"/>
    <w:rsid w:val="0083271B"/>
    <w:rsid w:val="00834285"/>
    <w:rsid w:val="0084038E"/>
    <w:rsid w:val="00841A86"/>
    <w:rsid w:val="0084670C"/>
    <w:rsid w:val="0084745A"/>
    <w:rsid w:val="008513B3"/>
    <w:rsid w:val="00872103"/>
    <w:rsid w:val="008752FD"/>
    <w:rsid w:val="0088056D"/>
    <w:rsid w:val="00881581"/>
    <w:rsid w:val="00882C01"/>
    <w:rsid w:val="00882ECC"/>
    <w:rsid w:val="00883DC8"/>
    <w:rsid w:val="00884D85"/>
    <w:rsid w:val="00895E81"/>
    <w:rsid w:val="008974F6"/>
    <w:rsid w:val="008A3022"/>
    <w:rsid w:val="008A33F6"/>
    <w:rsid w:val="008B0AAD"/>
    <w:rsid w:val="008B1E15"/>
    <w:rsid w:val="008B6F99"/>
    <w:rsid w:val="008C486B"/>
    <w:rsid w:val="008C4EE3"/>
    <w:rsid w:val="008D2444"/>
    <w:rsid w:val="008D3BAB"/>
    <w:rsid w:val="008E4D3D"/>
    <w:rsid w:val="008E5BA5"/>
    <w:rsid w:val="009013CF"/>
    <w:rsid w:val="00901834"/>
    <w:rsid w:val="00902E05"/>
    <w:rsid w:val="00903B5F"/>
    <w:rsid w:val="0090492A"/>
    <w:rsid w:val="0090579A"/>
    <w:rsid w:val="00906B9C"/>
    <w:rsid w:val="0091475A"/>
    <w:rsid w:val="0091791C"/>
    <w:rsid w:val="00921C4A"/>
    <w:rsid w:val="00923E15"/>
    <w:rsid w:val="00930E60"/>
    <w:rsid w:val="009335DE"/>
    <w:rsid w:val="0094091D"/>
    <w:rsid w:val="00944136"/>
    <w:rsid w:val="00945F2B"/>
    <w:rsid w:val="009466DB"/>
    <w:rsid w:val="00954BA6"/>
    <w:rsid w:val="00955B60"/>
    <w:rsid w:val="00972725"/>
    <w:rsid w:val="009751BE"/>
    <w:rsid w:val="009871C5"/>
    <w:rsid w:val="0098792A"/>
    <w:rsid w:val="009908C7"/>
    <w:rsid w:val="0099644C"/>
    <w:rsid w:val="00996827"/>
    <w:rsid w:val="00996A4D"/>
    <w:rsid w:val="009A0791"/>
    <w:rsid w:val="009A4B60"/>
    <w:rsid w:val="009A4C49"/>
    <w:rsid w:val="009B152A"/>
    <w:rsid w:val="009B75C0"/>
    <w:rsid w:val="009C14EE"/>
    <w:rsid w:val="009C53D1"/>
    <w:rsid w:val="009D05CA"/>
    <w:rsid w:val="009D34BA"/>
    <w:rsid w:val="009D53D8"/>
    <w:rsid w:val="009E1833"/>
    <w:rsid w:val="009E20FF"/>
    <w:rsid w:val="009E43B9"/>
    <w:rsid w:val="009E56A0"/>
    <w:rsid w:val="009E6EDC"/>
    <w:rsid w:val="009F4D84"/>
    <w:rsid w:val="00A02F96"/>
    <w:rsid w:val="00A040FB"/>
    <w:rsid w:val="00A16307"/>
    <w:rsid w:val="00A20A80"/>
    <w:rsid w:val="00A20E38"/>
    <w:rsid w:val="00A260E1"/>
    <w:rsid w:val="00A26A85"/>
    <w:rsid w:val="00A328A8"/>
    <w:rsid w:val="00A402F8"/>
    <w:rsid w:val="00A45BDC"/>
    <w:rsid w:val="00A5050A"/>
    <w:rsid w:val="00A516CC"/>
    <w:rsid w:val="00A51954"/>
    <w:rsid w:val="00A52A39"/>
    <w:rsid w:val="00A52EAF"/>
    <w:rsid w:val="00A553BC"/>
    <w:rsid w:val="00A7429C"/>
    <w:rsid w:val="00A76D33"/>
    <w:rsid w:val="00A81E08"/>
    <w:rsid w:val="00A82162"/>
    <w:rsid w:val="00A9432F"/>
    <w:rsid w:val="00AA6BB2"/>
    <w:rsid w:val="00AB1F68"/>
    <w:rsid w:val="00AD02D7"/>
    <w:rsid w:val="00AD4A52"/>
    <w:rsid w:val="00AD6CD8"/>
    <w:rsid w:val="00AF17FA"/>
    <w:rsid w:val="00AF6D38"/>
    <w:rsid w:val="00B10DED"/>
    <w:rsid w:val="00B21045"/>
    <w:rsid w:val="00B215AD"/>
    <w:rsid w:val="00B216BD"/>
    <w:rsid w:val="00B266F5"/>
    <w:rsid w:val="00B32FC0"/>
    <w:rsid w:val="00B406EC"/>
    <w:rsid w:val="00B44ED7"/>
    <w:rsid w:val="00B61B7E"/>
    <w:rsid w:val="00B7635D"/>
    <w:rsid w:val="00B773AD"/>
    <w:rsid w:val="00B80507"/>
    <w:rsid w:val="00B91A9A"/>
    <w:rsid w:val="00B93D8A"/>
    <w:rsid w:val="00B94AFE"/>
    <w:rsid w:val="00B97BE2"/>
    <w:rsid w:val="00BA6DF9"/>
    <w:rsid w:val="00BA7F11"/>
    <w:rsid w:val="00BB3CF4"/>
    <w:rsid w:val="00BC32FF"/>
    <w:rsid w:val="00BD081E"/>
    <w:rsid w:val="00BD2386"/>
    <w:rsid w:val="00BD4AB4"/>
    <w:rsid w:val="00BD5A5C"/>
    <w:rsid w:val="00BD7FA6"/>
    <w:rsid w:val="00BE071D"/>
    <w:rsid w:val="00BE3340"/>
    <w:rsid w:val="00BF0E4B"/>
    <w:rsid w:val="00BF2F44"/>
    <w:rsid w:val="00BF2F54"/>
    <w:rsid w:val="00C0629E"/>
    <w:rsid w:val="00C13EB3"/>
    <w:rsid w:val="00C160BF"/>
    <w:rsid w:val="00C27447"/>
    <w:rsid w:val="00C32FBB"/>
    <w:rsid w:val="00C4292B"/>
    <w:rsid w:val="00C47169"/>
    <w:rsid w:val="00C54282"/>
    <w:rsid w:val="00C612B2"/>
    <w:rsid w:val="00C70060"/>
    <w:rsid w:val="00C70FA1"/>
    <w:rsid w:val="00C733DA"/>
    <w:rsid w:val="00C763C1"/>
    <w:rsid w:val="00C8080C"/>
    <w:rsid w:val="00C80C4C"/>
    <w:rsid w:val="00C81C48"/>
    <w:rsid w:val="00C85EEF"/>
    <w:rsid w:val="00C9627E"/>
    <w:rsid w:val="00C96746"/>
    <w:rsid w:val="00CA2429"/>
    <w:rsid w:val="00CA4E7B"/>
    <w:rsid w:val="00CA60A1"/>
    <w:rsid w:val="00CA7B1A"/>
    <w:rsid w:val="00CB560B"/>
    <w:rsid w:val="00CB7706"/>
    <w:rsid w:val="00CC15FE"/>
    <w:rsid w:val="00CC4070"/>
    <w:rsid w:val="00CD2436"/>
    <w:rsid w:val="00CD44DA"/>
    <w:rsid w:val="00CE4B9B"/>
    <w:rsid w:val="00CE52F5"/>
    <w:rsid w:val="00CE74EA"/>
    <w:rsid w:val="00CF3E71"/>
    <w:rsid w:val="00D06241"/>
    <w:rsid w:val="00D063F2"/>
    <w:rsid w:val="00D150D2"/>
    <w:rsid w:val="00D15951"/>
    <w:rsid w:val="00D25C14"/>
    <w:rsid w:val="00D42B85"/>
    <w:rsid w:val="00D43854"/>
    <w:rsid w:val="00D47B8E"/>
    <w:rsid w:val="00D5193D"/>
    <w:rsid w:val="00D5204A"/>
    <w:rsid w:val="00D57B09"/>
    <w:rsid w:val="00D61910"/>
    <w:rsid w:val="00D64D80"/>
    <w:rsid w:val="00D65BC8"/>
    <w:rsid w:val="00D71D19"/>
    <w:rsid w:val="00D745D7"/>
    <w:rsid w:val="00D92134"/>
    <w:rsid w:val="00D92C2A"/>
    <w:rsid w:val="00DA2F83"/>
    <w:rsid w:val="00DA63F4"/>
    <w:rsid w:val="00DB2B8D"/>
    <w:rsid w:val="00DB2F5E"/>
    <w:rsid w:val="00DB58BD"/>
    <w:rsid w:val="00DC28C4"/>
    <w:rsid w:val="00DC6C05"/>
    <w:rsid w:val="00DD1780"/>
    <w:rsid w:val="00DD48F6"/>
    <w:rsid w:val="00DD6337"/>
    <w:rsid w:val="00DE0A18"/>
    <w:rsid w:val="00DE3B7C"/>
    <w:rsid w:val="00DF3692"/>
    <w:rsid w:val="00DF7BDE"/>
    <w:rsid w:val="00E01F14"/>
    <w:rsid w:val="00E05D96"/>
    <w:rsid w:val="00E10467"/>
    <w:rsid w:val="00E12A51"/>
    <w:rsid w:val="00E13BB1"/>
    <w:rsid w:val="00E22578"/>
    <w:rsid w:val="00E376D8"/>
    <w:rsid w:val="00E4223B"/>
    <w:rsid w:val="00E473EB"/>
    <w:rsid w:val="00E5340E"/>
    <w:rsid w:val="00E5614C"/>
    <w:rsid w:val="00E56F47"/>
    <w:rsid w:val="00E602AD"/>
    <w:rsid w:val="00E662E2"/>
    <w:rsid w:val="00E7670F"/>
    <w:rsid w:val="00E84B5E"/>
    <w:rsid w:val="00E94818"/>
    <w:rsid w:val="00E961E1"/>
    <w:rsid w:val="00EB0DB3"/>
    <w:rsid w:val="00EB10D3"/>
    <w:rsid w:val="00EB3278"/>
    <w:rsid w:val="00EC16B9"/>
    <w:rsid w:val="00EC28F5"/>
    <w:rsid w:val="00EC5F03"/>
    <w:rsid w:val="00ED17A8"/>
    <w:rsid w:val="00EE3EF4"/>
    <w:rsid w:val="00EE70DA"/>
    <w:rsid w:val="00EE7B14"/>
    <w:rsid w:val="00F058A6"/>
    <w:rsid w:val="00F07E1F"/>
    <w:rsid w:val="00F1706B"/>
    <w:rsid w:val="00F175E9"/>
    <w:rsid w:val="00F20D94"/>
    <w:rsid w:val="00F31E57"/>
    <w:rsid w:val="00F42F94"/>
    <w:rsid w:val="00F45B9B"/>
    <w:rsid w:val="00F4738F"/>
    <w:rsid w:val="00F5573A"/>
    <w:rsid w:val="00F64360"/>
    <w:rsid w:val="00F67319"/>
    <w:rsid w:val="00F724FD"/>
    <w:rsid w:val="00F733ED"/>
    <w:rsid w:val="00F7702D"/>
    <w:rsid w:val="00F81904"/>
    <w:rsid w:val="00F81C1D"/>
    <w:rsid w:val="00F8579D"/>
    <w:rsid w:val="00F939E3"/>
    <w:rsid w:val="00FA6578"/>
    <w:rsid w:val="00FB0909"/>
    <w:rsid w:val="00FB263A"/>
    <w:rsid w:val="00FC0609"/>
    <w:rsid w:val="00FC0A33"/>
    <w:rsid w:val="00FC0A92"/>
    <w:rsid w:val="00FC11E0"/>
    <w:rsid w:val="00FC1B3B"/>
    <w:rsid w:val="00FD0425"/>
    <w:rsid w:val="00FD4C42"/>
    <w:rsid w:val="00FD7A45"/>
    <w:rsid w:val="00FE7F7B"/>
    <w:rsid w:val="00FF0E41"/>
    <w:rsid w:val="00FF666F"/>
    <w:rsid w:val="10710323"/>
    <w:rsid w:val="11173B0E"/>
    <w:rsid w:val="118E69F8"/>
    <w:rsid w:val="11E75478"/>
    <w:rsid w:val="14EB42E6"/>
    <w:rsid w:val="264F5DB8"/>
    <w:rsid w:val="29686607"/>
    <w:rsid w:val="29F42CD7"/>
    <w:rsid w:val="380736B3"/>
    <w:rsid w:val="3C8B35F3"/>
    <w:rsid w:val="453D1CA6"/>
    <w:rsid w:val="4E073288"/>
    <w:rsid w:val="4FAB4A50"/>
    <w:rsid w:val="54587B88"/>
    <w:rsid w:val="57C525DA"/>
    <w:rsid w:val="59382E88"/>
    <w:rsid w:val="5E4E6460"/>
    <w:rsid w:val="5FB317B9"/>
    <w:rsid w:val="5FC7019B"/>
    <w:rsid w:val="70FF6286"/>
    <w:rsid w:val="71F87CFA"/>
    <w:rsid w:val="78E2682F"/>
    <w:rsid w:val="7CB06E7D"/>
    <w:rsid w:val="7CF842F2"/>
    <w:rsid w:val="7FC51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qFormat="1"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1044" w:firstLineChars="200"/>
      <w:jc w:val="both"/>
    </w:pPr>
    <w:rPr>
      <w:rFonts w:ascii="Times New Roman" w:hAnsi="Times New Roman" w:eastAsia="仿宋" w:cs="Times New Roman"/>
      <w:kern w:val="2"/>
      <w:sz w:val="28"/>
      <w:lang w:val="en-US" w:eastAsia="zh-CN" w:bidi="ar-SA"/>
    </w:rPr>
  </w:style>
  <w:style w:type="paragraph" w:styleId="4">
    <w:name w:val="heading 1"/>
    <w:basedOn w:val="1"/>
    <w:next w:val="1"/>
    <w:link w:val="31"/>
    <w:qFormat/>
    <w:uiPriority w:val="9"/>
    <w:pPr>
      <w:spacing w:beforeAutospacing="1" w:afterAutospacing="1"/>
      <w:ind w:firstLine="0" w:firstLineChars="0"/>
      <w:jc w:val="left"/>
      <w:outlineLvl w:val="0"/>
    </w:pPr>
    <w:rPr>
      <w:rFonts w:hint="eastAsia" w:ascii="宋体" w:hAnsi="宋体" w:eastAsia="宋体"/>
      <w:b/>
      <w:bCs/>
      <w:kern w:val="44"/>
      <w:sz w:val="36"/>
      <w:szCs w:val="48"/>
    </w:rPr>
  </w:style>
  <w:style w:type="paragraph" w:styleId="5">
    <w:name w:val="heading 2"/>
    <w:basedOn w:val="1"/>
    <w:next w:val="1"/>
    <w:unhideWhenUsed/>
    <w:qFormat/>
    <w:uiPriority w:val="9"/>
    <w:pPr>
      <w:keepNext/>
      <w:keepLines/>
      <w:spacing w:beforeLines="50" w:afterLines="50"/>
      <w:ind w:firstLine="0" w:firstLineChars="0"/>
      <w:outlineLvl w:val="1"/>
    </w:pPr>
    <w:rPr>
      <w:rFonts w:ascii="Arial" w:hAnsi="Arial"/>
      <w:b/>
      <w:sz w:val="30"/>
    </w:rPr>
  </w:style>
  <w:style w:type="paragraph" w:styleId="6">
    <w:name w:val="heading 3"/>
    <w:basedOn w:val="1"/>
    <w:next w:val="1"/>
    <w:unhideWhenUsed/>
    <w:qFormat/>
    <w:uiPriority w:val="9"/>
    <w:pPr>
      <w:keepNext/>
      <w:keepLines/>
      <w:ind w:firstLine="0" w:firstLineChars="0"/>
      <w:outlineLvl w:val="2"/>
    </w:pPr>
    <w:rPr>
      <w:b/>
      <w:sz w:val="30"/>
    </w:rPr>
  </w:style>
  <w:style w:type="paragraph" w:styleId="7">
    <w:name w:val="heading 4"/>
    <w:basedOn w:val="1"/>
    <w:next w:val="1"/>
    <w:unhideWhenUsed/>
    <w:qFormat/>
    <w:uiPriority w:val="9"/>
    <w:pPr>
      <w:keepNext/>
      <w:keepLines/>
      <w:ind w:firstLine="0" w:firstLineChars="0"/>
      <w:outlineLvl w:val="3"/>
    </w:pPr>
    <w:rPr>
      <w:rFonts w:ascii="Arial" w:hAnsi="Arial"/>
    </w:rPr>
  </w:style>
  <w:style w:type="character" w:default="1" w:styleId="26">
    <w:name w:val="Default Paragraph Font"/>
    <w:semiHidden/>
    <w:unhideWhenUsed/>
    <w:qFormat/>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2">
    <w:name w:val="index heading"/>
    <w:basedOn w:val="1"/>
    <w:next w:val="3"/>
    <w:semiHidden/>
    <w:unhideWhenUsed/>
    <w:qFormat/>
    <w:uiPriority w:val="99"/>
    <w:rPr>
      <w:rFonts w:ascii="Arial" w:hAnsi="Arial"/>
      <w:b/>
    </w:rPr>
  </w:style>
  <w:style w:type="paragraph" w:styleId="3">
    <w:name w:val="index 1"/>
    <w:basedOn w:val="1"/>
    <w:next w:val="1"/>
    <w:semiHidden/>
    <w:unhideWhenUsed/>
    <w:qFormat/>
    <w:uiPriority w:val="99"/>
  </w:style>
  <w:style w:type="paragraph" w:styleId="8">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9">
    <w:name w:val="Document Map"/>
    <w:basedOn w:val="1"/>
    <w:link w:val="46"/>
    <w:semiHidden/>
    <w:unhideWhenUsed/>
    <w:qFormat/>
    <w:uiPriority w:val="99"/>
    <w:rPr>
      <w:rFonts w:ascii="宋体" w:eastAsia="宋体"/>
      <w:sz w:val="18"/>
      <w:szCs w:val="18"/>
    </w:rPr>
  </w:style>
  <w:style w:type="paragraph" w:styleId="10">
    <w:name w:val="annotation text"/>
    <w:basedOn w:val="1"/>
    <w:link w:val="37"/>
    <w:semiHidden/>
    <w:unhideWhenUsed/>
    <w:qFormat/>
    <w:uiPriority w:val="99"/>
    <w:pPr>
      <w:jc w:val="left"/>
    </w:pPr>
  </w:style>
  <w:style w:type="paragraph" w:styleId="11">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2">
    <w:name w:val="toc 3"/>
    <w:basedOn w:val="1"/>
    <w:next w:val="1"/>
    <w:unhideWhenUsed/>
    <w:qFormat/>
    <w:uiPriority w:val="39"/>
    <w:pPr>
      <w:ind w:left="840" w:leftChars="400"/>
    </w:pPr>
  </w:style>
  <w:style w:type="paragraph" w:styleId="13">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4">
    <w:name w:val="Balloon Text"/>
    <w:basedOn w:val="1"/>
    <w:link w:val="36"/>
    <w:semiHidden/>
    <w:unhideWhenUsed/>
    <w:qFormat/>
    <w:uiPriority w:val="99"/>
    <w:rPr>
      <w:sz w:val="18"/>
      <w:szCs w:val="18"/>
    </w:rPr>
  </w:style>
  <w:style w:type="paragraph" w:styleId="15">
    <w:name w:val="footer"/>
    <w:basedOn w:val="1"/>
    <w:link w:val="35"/>
    <w:qFormat/>
    <w:uiPriority w:val="99"/>
    <w:pPr>
      <w:tabs>
        <w:tab w:val="center" w:pos="4153"/>
        <w:tab w:val="right" w:pos="8306"/>
      </w:tabs>
      <w:snapToGrid w:val="0"/>
      <w:jc w:val="left"/>
    </w:pPr>
    <w:rPr>
      <w:sz w:val="18"/>
      <w:szCs w:val="18"/>
    </w:rPr>
  </w:style>
  <w:style w:type="paragraph" w:styleId="16">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8302"/>
      </w:tabs>
    </w:pPr>
  </w:style>
  <w:style w:type="paragraph" w:styleId="18">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9">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2">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10"/>
    <w:next w:val="10"/>
    <w:link w:val="38"/>
    <w:semiHidden/>
    <w:unhideWhenUsed/>
    <w:qFormat/>
    <w:uiPriority w:val="99"/>
    <w:rPr>
      <w:b/>
      <w:bCs/>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FollowedHyperlink"/>
    <w:basedOn w:val="26"/>
    <w:semiHidden/>
    <w:unhideWhenUsed/>
    <w:qFormat/>
    <w:uiPriority w:val="99"/>
    <w:rPr>
      <w:color w:val="800080" w:themeColor="followedHyperlink"/>
      <w:u w:val="single"/>
      <w14:textFill>
        <w14:solidFill>
          <w14:schemeClr w14:val="folHlink"/>
        </w14:solidFill>
      </w14:textFill>
    </w:rPr>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basedOn w:val="26"/>
    <w:semiHidden/>
    <w:unhideWhenUsed/>
    <w:qFormat/>
    <w:uiPriority w:val="99"/>
    <w:rPr>
      <w:sz w:val="21"/>
      <w:szCs w:val="21"/>
    </w:rPr>
  </w:style>
  <w:style w:type="character" w:customStyle="1" w:styleId="31">
    <w:name w:val="标题 1 Char"/>
    <w:basedOn w:val="26"/>
    <w:link w:val="4"/>
    <w:qFormat/>
    <w:uiPriority w:val="9"/>
    <w:rPr>
      <w:rFonts w:ascii="Times New Roman" w:hAnsi="Times New Roman" w:eastAsia="宋体" w:cs="Times New Roman"/>
      <w:b/>
      <w:bCs/>
      <w:kern w:val="44"/>
      <w:sz w:val="36"/>
      <w:szCs w:val="44"/>
    </w:rPr>
  </w:style>
  <w:style w:type="character" w:customStyle="1" w:styleId="32">
    <w:name w:val="页脚 Char"/>
    <w:basedOn w:val="26"/>
    <w:qFormat/>
    <w:uiPriority w:val="99"/>
    <w:rPr>
      <w:rFonts w:ascii="Times New Roman" w:hAnsi="Times New Roman" w:eastAsia="宋体" w:cs="Times New Roman"/>
      <w:sz w:val="18"/>
      <w:szCs w:val="18"/>
    </w:rPr>
  </w:style>
  <w:style w:type="character" w:customStyle="1" w:styleId="33">
    <w:name w:val="页眉 Char"/>
    <w:basedOn w:val="26"/>
    <w:link w:val="16"/>
    <w:qFormat/>
    <w:uiPriority w:val="0"/>
    <w:rPr>
      <w:rFonts w:ascii="Times New Roman" w:hAnsi="Times New Roman" w:eastAsia="宋体" w:cs="Times New Roman"/>
      <w:sz w:val="18"/>
      <w:szCs w:val="18"/>
    </w:rPr>
  </w:style>
  <w:style w:type="paragraph" w:customStyle="1" w:styleId="34">
    <w:name w:val="表格"/>
    <w:basedOn w:val="1"/>
    <w:qFormat/>
    <w:uiPriority w:val="0"/>
    <w:pPr>
      <w:spacing w:line="360" w:lineRule="auto"/>
      <w:ind w:firstLine="560"/>
    </w:pPr>
    <w:rPr>
      <w:rFonts w:ascii="仿宋_GB2312" w:hAnsi="仿宋_GB2312" w:eastAsia="仿宋_GB2312"/>
      <w:color w:val="000000"/>
      <w:szCs w:val="28"/>
    </w:rPr>
  </w:style>
  <w:style w:type="character" w:customStyle="1" w:styleId="35">
    <w:name w:val="页脚 Char1"/>
    <w:link w:val="15"/>
    <w:qFormat/>
    <w:locked/>
    <w:uiPriority w:val="99"/>
    <w:rPr>
      <w:rFonts w:ascii="Times New Roman" w:hAnsi="Times New Roman" w:eastAsia="宋体" w:cs="Times New Roman"/>
      <w:sz w:val="18"/>
      <w:szCs w:val="18"/>
    </w:rPr>
  </w:style>
  <w:style w:type="character" w:customStyle="1" w:styleId="36">
    <w:name w:val="批注框文本 Char"/>
    <w:basedOn w:val="26"/>
    <w:link w:val="14"/>
    <w:semiHidden/>
    <w:qFormat/>
    <w:uiPriority w:val="99"/>
    <w:rPr>
      <w:rFonts w:ascii="Times New Roman" w:hAnsi="Times New Roman" w:eastAsia="宋体" w:cs="Times New Roman"/>
      <w:sz w:val="18"/>
      <w:szCs w:val="18"/>
    </w:rPr>
  </w:style>
  <w:style w:type="character" w:customStyle="1" w:styleId="37">
    <w:name w:val="批注文字 Char"/>
    <w:basedOn w:val="26"/>
    <w:link w:val="10"/>
    <w:semiHidden/>
    <w:qFormat/>
    <w:uiPriority w:val="99"/>
    <w:rPr>
      <w:rFonts w:ascii="Times New Roman" w:hAnsi="Times New Roman" w:eastAsia="宋体" w:cs="Times New Roman"/>
      <w:szCs w:val="20"/>
    </w:rPr>
  </w:style>
  <w:style w:type="character" w:customStyle="1" w:styleId="38">
    <w:name w:val="批注主题 Char"/>
    <w:basedOn w:val="37"/>
    <w:link w:val="23"/>
    <w:semiHidden/>
    <w:qFormat/>
    <w:uiPriority w:val="99"/>
    <w:rPr>
      <w:rFonts w:ascii="Times New Roman" w:hAnsi="Times New Roman" w:eastAsia="宋体" w:cs="Times New Roman"/>
      <w:b/>
      <w:bCs/>
      <w:szCs w:val="20"/>
    </w:rPr>
  </w:style>
  <w:style w:type="paragraph" w:styleId="39">
    <w:name w:val="List Paragraph"/>
    <w:basedOn w:val="1"/>
    <w:qFormat/>
    <w:uiPriority w:val="34"/>
    <w:pPr>
      <w:ind w:firstLine="420"/>
    </w:pPr>
  </w:style>
  <w:style w:type="paragraph" w:customStyle="1" w:styleId="40">
    <w:name w:val="TOC 标题1"/>
    <w:basedOn w:val="4"/>
    <w:next w:val="1"/>
    <w:unhideWhenUsed/>
    <w:qFormat/>
    <w:uiPriority w:val="39"/>
    <w:pPr>
      <w:widowControl/>
      <w:spacing w:before="24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41">
    <w:name w:val="apple-converted-space"/>
    <w:basedOn w:val="26"/>
    <w:qFormat/>
    <w:uiPriority w:val="0"/>
  </w:style>
  <w:style w:type="character" w:customStyle="1" w:styleId="42">
    <w:name w:val="未处理的提及1"/>
    <w:basedOn w:val="26"/>
    <w:semiHidden/>
    <w:unhideWhenUsed/>
    <w:qFormat/>
    <w:uiPriority w:val="99"/>
    <w:rPr>
      <w:color w:val="808080"/>
      <w:shd w:val="clear" w:color="auto" w:fill="E6E6E6"/>
    </w:rPr>
  </w:style>
  <w:style w:type="table" w:customStyle="1" w:styleId="43">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44">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45">
    <w:name w:val="样式1"/>
    <w:basedOn w:val="1"/>
    <w:qFormat/>
    <w:uiPriority w:val="0"/>
    <w:pPr>
      <w:spacing w:line="360" w:lineRule="auto"/>
      <w:ind w:firstLine="560"/>
    </w:pPr>
    <w:rPr>
      <w:rFonts w:ascii="仿宋_GB2312" w:eastAsia="仿宋_GB2312"/>
      <w:color w:val="000000"/>
      <w:szCs w:val="28"/>
    </w:rPr>
  </w:style>
  <w:style w:type="character" w:customStyle="1" w:styleId="46">
    <w:name w:val="文档结构图 Char"/>
    <w:basedOn w:val="26"/>
    <w:link w:val="9"/>
    <w:semiHidden/>
    <w:qFormat/>
    <w:uiPriority w:val="99"/>
    <w:rPr>
      <w:rFonts w:ascii="宋体"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52844-E3A5-43C8-8AB9-9353A46557B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1742</Words>
  <Characters>9936</Characters>
  <Lines>82</Lines>
  <Paragraphs>23</Paragraphs>
  <TotalTime>454</TotalTime>
  <ScaleCrop>false</ScaleCrop>
  <LinksUpToDate>false</LinksUpToDate>
  <CharactersWithSpaces>11655</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2018-06-04T07:46:00Z</dcterms:created>
  <dc:creator>Administrator</dc:creator>
  <cp:lastModifiedBy>お爆米不开花</cp:lastModifiedBy>
  <cp:lastPrinted>2020-04-22T03:14:00Z</cp:lastPrinted>
  <dcterms:modified xsi:type="dcterms:W3CDTF">2020-07-15T08:54:52Z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